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31" w:type="dxa"/>
        <w:tblLook w:val="04A0" w:firstRow="1" w:lastRow="0" w:firstColumn="1" w:lastColumn="0" w:noHBand="0" w:noVBand="1"/>
      </w:tblPr>
      <w:tblGrid>
        <w:gridCol w:w="9447"/>
      </w:tblGrid>
      <w:tr w:rsidR="00061B4A" w:rsidRPr="00A53F50" w:rsidTr="00061B4A">
        <w:tc>
          <w:tcPr>
            <w:tcW w:w="9447" w:type="dxa"/>
            <w:shd w:val="clear" w:color="auto" w:fill="DEEAF6" w:themeFill="accent1" w:themeFillTint="33"/>
          </w:tcPr>
          <w:p w:rsidR="00061B4A" w:rsidRDefault="00061B4A" w:rsidP="004C1A51">
            <w:pPr>
              <w:spacing w:before="100" w:beforeAutospacing="1" w:after="100" w:afterAutospacing="1"/>
              <w:rPr>
                <w:rFonts w:ascii="Arial" w:hAnsi="Arial" w:cs="Arial"/>
                <w:color w:val="000000"/>
                <w:sz w:val="24"/>
                <w:szCs w:val="24"/>
              </w:rPr>
            </w:pPr>
            <w:bookmarkStart w:id="0" w:name="_GoBack"/>
            <w:bookmarkEnd w:id="0"/>
            <w:r w:rsidRPr="00A53F50">
              <w:rPr>
                <w:rFonts w:ascii="Arial" w:hAnsi="Arial" w:cs="Arial"/>
                <w:color w:val="000000"/>
                <w:sz w:val="24"/>
                <w:szCs w:val="24"/>
              </w:rPr>
              <w:t>This will be an exciting time  to join Adult Social Care as we move towards a more localised approach working with partners in ‘Hubs’ around the city.</w:t>
            </w:r>
          </w:p>
          <w:p w:rsidR="00061B4A" w:rsidRDefault="00061B4A" w:rsidP="004C1A51">
            <w:pPr>
              <w:spacing w:before="100" w:beforeAutospacing="1" w:after="100" w:afterAutospacing="1"/>
              <w:rPr>
                <w:rFonts w:ascii="Arial" w:hAnsi="Arial" w:cs="Arial"/>
                <w:color w:val="000000"/>
                <w:sz w:val="24"/>
                <w:szCs w:val="24"/>
              </w:rPr>
            </w:pPr>
            <w:r w:rsidRPr="00A53F50">
              <w:rPr>
                <w:rFonts w:ascii="Arial" w:hAnsi="Arial" w:cs="Arial"/>
                <w:color w:val="000000"/>
                <w:sz w:val="24"/>
                <w:szCs w:val="24"/>
              </w:rPr>
              <w:t xml:space="preserve">This will enable us to l better meet the Community Led Support Model and Strength Based Approach that is required to support all groups of people needing support in the future. </w:t>
            </w:r>
          </w:p>
          <w:p w:rsidR="00061B4A" w:rsidRDefault="00061B4A" w:rsidP="004C1A51">
            <w:pPr>
              <w:spacing w:before="100" w:beforeAutospacing="1" w:after="100" w:afterAutospacing="1"/>
              <w:rPr>
                <w:rFonts w:ascii="Arial" w:hAnsi="Arial" w:cs="Arial"/>
                <w:color w:val="000000"/>
                <w:sz w:val="24"/>
                <w:szCs w:val="24"/>
              </w:rPr>
            </w:pPr>
            <w:r w:rsidRPr="00A53F50">
              <w:rPr>
                <w:rFonts w:ascii="Arial" w:hAnsi="Arial" w:cs="Arial"/>
                <w:color w:val="000000"/>
                <w:sz w:val="24"/>
                <w:szCs w:val="24"/>
              </w:rPr>
              <w:t>Strength Based Support  and Community Led Support is key to our approach and ensuring that people can remain as independent as possible as part of their community with support from their local community, Personal Budgets and commissioned care.</w:t>
            </w:r>
          </w:p>
          <w:p w:rsidR="00061B4A" w:rsidRPr="00A53F50" w:rsidRDefault="00061B4A" w:rsidP="004C1A51">
            <w:pPr>
              <w:spacing w:before="100" w:beforeAutospacing="1" w:after="100" w:afterAutospacing="1"/>
              <w:rPr>
                <w:rFonts w:ascii="Arial" w:hAnsi="Arial" w:cs="Arial"/>
                <w:color w:val="000000"/>
                <w:sz w:val="24"/>
                <w:szCs w:val="24"/>
              </w:rPr>
            </w:pPr>
          </w:p>
        </w:tc>
      </w:tr>
      <w:tr w:rsidR="00061B4A" w:rsidRPr="00A53F50" w:rsidTr="00061B4A">
        <w:tc>
          <w:tcPr>
            <w:tcW w:w="9447" w:type="dxa"/>
            <w:shd w:val="clear" w:color="auto" w:fill="DEEAF6" w:themeFill="accent1" w:themeFillTint="33"/>
          </w:tcPr>
          <w:p w:rsidR="00061B4A" w:rsidRPr="00A53F50" w:rsidRDefault="00061B4A" w:rsidP="004C1A51">
            <w:pPr>
              <w:spacing w:before="100" w:beforeAutospacing="1" w:after="100" w:afterAutospacing="1"/>
              <w:rPr>
                <w:rFonts w:ascii="Arial" w:hAnsi="Arial" w:cs="Arial"/>
                <w:color w:val="000000"/>
                <w:sz w:val="24"/>
                <w:szCs w:val="24"/>
              </w:rPr>
            </w:pPr>
            <w:r w:rsidRPr="00A53F50">
              <w:rPr>
                <w:rFonts w:ascii="Arial" w:hAnsi="Arial" w:cs="Arial"/>
                <w:color w:val="000000"/>
                <w:sz w:val="24"/>
                <w:szCs w:val="24"/>
              </w:rPr>
              <w:t>The teams will continue to support people in the following areas :</w:t>
            </w:r>
          </w:p>
          <w:p w:rsidR="00061B4A" w:rsidRDefault="00061B4A" w:rsidP="00061B4A">
            <w:pPr>
              <w:pStyle w:val="ListParagraph"/>
              <w:numPr>
                <w:ilvl w:val="0"/>
                <w:numId w:val="1"/>
              </w:numPr>
              <w:spacing w:before="100" w:beforeAutospacing="1" w:after="100" w:afterAutospacing="1"/>
              <w:rPr>
                <w:rFonts w:ascii="Arial" w:hAnsi="Arial" w:cs="Arial"/>
                <w:color w:val="000000"/>
                <w:sz w:val="24"/>
                <w:szCs w:val="24"/>
              </w:rPr>
            </w:pPr>
            <w:r w:rsidRPr="00A53F50">
              <w:rPr>
                <w:rFonts w:ascii="Arial" w:hAnsi="Arial" w:cs="Arial"/>
                <w:b/>
                <w:color w:val="000000"/>
                <w:sz w:val="24"/>
                <w:szCs w:val="24"/>
              </w:rPr>
              <w:t>Hospital Social Work</w:t>
            </w:r>
            <w:r w:rsidRPr="00A53F50">
              <w:rPr>
                <w:rFonts w:ascii="Arial" w:hAnsi="Arial" w:cs="Arial"/>
                <w:color w:val="000000"/>
                <w:sz w:val="24"/>
                <w:szCs w:val="24"/>
              </w:rPr>
              <w:t xml:space="preserve"> – supporting people with a planned discharge from Hospital, and were appropriate screening people for Continuing Health Care</w:t>
            </w:r>
          </w:p>
          <w:p w:rsidR="00061B4A" w:rsidRPr="008A49BD" w:rsidRDefault="00061B4A" w:rsidP="004C1A51">
            <w:pPr>
              <w:spacing w:before="100" w:beforeAutospacing="1" w:after="100" w:afterAutospacing="1"/>
              <w:rPr>
                <w:rFonts w:ascii="Arial" w:hAnsi="Arial" w:cs="Arial"/>
                <w:color w:val="000000"/>
                <w:sz w:val="24"/>
                <w:szCs w:val="24"/>
              </w:rPr>
            </w:pPr>
          </w:p>
          <w:p w:rsidR="00061B4A" w:rsidRDefault="00061B4A" w:rsidP="00061B4A">
            <w:pPr>
              <w:pStyle w:val="ListParagraph"/>
              <w:numPr>
                <w:ilvl w:val="0"/>
                <w:numId w:val="1"/>
              </w:numPr>
              <w:spacing w:before="100" w:beforeAutospacing="1" w:after="100" w:afterAutospacing="1"/>
              <w:rPr>
                <w:rFonts w:ascii="Arial" w:hAnsi="Arial" w:cs="Arial"/>
                <w:color w:val="000000"/>
                <w:sz w:val="24"/>
                <w:szCs w:val="24"/>
              </w:rPr>
            </w:pPr>
            <w:r w:rsidRPr="00A53F50">
              <w:rPr>
                <w:rFonts w:ascii="Arial" w:hAnsi="Arial" w:cs="Arial"/>
                <w:b/>
                <w:color w:val="000000"/>
                <w:sz w:val="24"/>
                <w:szCs w:val="24"/>
              </w:rPr>
              <w:t>Intermediate Support</w:t>
            </w:r>
            <w:r w:rsidRPr="00A53F50">
              <w:rPr>
                <w:rFonts w:ascii="Arial" w:hAnsi="Arial" w:cs="Arial"/>
                <w:color w:val="000000"/>
                <w:sz w:val="24"/>
                <w:szCs w:val="24"/>
              </w:rPr>
              <w:t xml:space="preserve"> – sometimes referred to as re-ablement or Intensive support – to support people following their move between hospital and getting back home </w:t>
            </w:r>
          </w:p>
          <w:p w:rsidR="00061B4A" w:rsidRPr="008A49BD" w:rsidRDefault="00061B4A" w:rsidP="004C1A51">
            <w:pPr>
              <w:spacing w:before="100" w:beforeAutospacing="1" w:after="100" w:afterAutospacing="1"/>
              <w:rPr>
                <w:rFonts w:ascii="Arial" w:hAnsi="Arial" w:cs="Arial"/>
                <w:color w:val="000000"/>
                <w:sz w:val="24"/>
                <w:szCs w:val="24"/>
              </w:rPr>
            </w:pPr>
          </w:p>
          <w:p w:rsidR="00061B4A" w:rsidRDefault="00061B4A" w:rsidP="00061B4A">
            <w:pPr>
              <w:pStyle w:val="ListParagraph"/>
              <w:numPr>
                <w:ilvl w:val="0"/>
                <w:numId w:val="1"/>
              </w:numPr>
              <w:spacing w:before="100" w:beforeAutospacing="1" w:after="100" w:afterAutospacing="1"/>
              <w:rPr>
                <w:rFonts w:ascii="Arial" w:hAnsi="Arial" w:cs="Arial"/>
                <w:color w:val="000000"/>
                <w:sz w:val="24"/>
                <w:szCs w:val="24"/>
              </w:rPr>
            </w:pPr>
            <w:r w:rsidRPr="00A53F50">
              <w:rPr>
                <w:rFonts w:ascii="Arial" w:hAnsi="Arial" w:cs="Arial"/>
                <w:b/>
                <w:color w:val="000000"/>
                <w:sz w:val="24"/>
                <w:szCs w:val="24"/>
              </w:rPr>
              <w:t>Community / Long Term Support</w:t>
            </w:r>
            <w:r w:rsidRPr="00A53F50">
              <w:rPr>
                <w:rFonts w:ascii="Arial" w:hAnsi="Arial" w:cs="Arial"/>
                <w:color w:val="000000"/>
                <w:sz w:val="24"/>
                <w:szCs w:val="24"/>
              </w:rPr>
              <w:t xml:space="preserve"> – supporting people who need longer term support in Residential / Nursing Home settings and supporting people to stay at home with appropriate support. Also undertaking the duty function for people making initial referrals into Adult Social Care</w:t>
            </w:r>
          </w:p>
          <w:p w:rsidR="00061B4A" w:rsidRPr="008A49BD" w:rsidRDefault="00061B4A" w:rsidP="004C1A51">
            <w:pPr>
              <w:spacing w:before="100" w:beforeAutospacing="1" w:after="100" w:afterAutospacing="1"/>
              <w:rPr>
                <w:rFonts w:ascii="Arial" w:hAnsi="Arial" w:cs="Arial"/>
                <w:color w:val="000000"/>
                <w:sz w:val="24"/>
                <w:szCs w:val="24"/>
              </w:rPr>
            </w:pPr>
          </w:p>
          <w:p w:rsidR="00061B4A" w:rsidRDefault="00061B4A" w:rsidP="00061B4A">
            <w:pPr>
              <w:pStyle w:val="ListParagraph"/>
              <w:numPr>
                <w:ilvl w:val="0"/>
                <w:numId w:val="1"/>
              </w:numPr>
              <w:spacing w:before="100" w:beforeAutospacing="1" w:after="100" w:afterAutospacing="1"/>
              <w:rPr>
                <w:rFonts w:ascii="Arial" w:hAnsi="Arial" w:cs="Arial"/>
                <w:color w:val="000000"/>
                <w:sz w:val="24"/>
                <w:szCs w:val="24"/>
              </w:rPr>
            </w:pPr>
            <w:r w:rsidRPr="00A53F50">
              <w:rPr>
                <w:rFonts w:ascii="Arial" w:hAnsi="Arial" w:cs="Arial"/>
                <w:b/>
                <w:color w:val="000000"/>
                <w:sz w:val="24"/>
                <w:szCs w:val="24"/>
              </w:rPr>
              <w:t>Learning Disability</w:t>
            </w:r>
            <w:r w:rsidRPr="00A53F50">
              <w:rPr>
                <w:rFonts w:ascii="Arial" w:hAnsi="Arial" w:cs="Arial"/>
                <w:color w:val="000000"/>
                <w:sz w:val="24"/>
                <w:szCs w:val="24"/>
              </w:rPr>
              <w:t xml:space="preserve"> – supporting people to be able to lead positive lives in their adult hood- working with the team ‘Preparing for Adulthood’. Also supporting people with complex needs to be supported to enable them to lead active and fulfilling lives</w:t>
            </w:r>
          </w:p>
          <w:p w:rsidR="00061B4A" w:rsidRPr="00A53F50" w:rsidRDefault="00061B4A" w:rsidP="004C1A51">
            <w:pPr>
              <w:spacing w:before="100" w:beforeAutospacing="1" w:after="100" w:afterAutospacing="1"/>
              <w:rPr>
                <w:rFonts w:ascii="Arial" w:hAnsi="Arial" w:cs="Arial"/>
                <w:color w:val="000000"/>
                <w:sz w:val="24"/>
                <w:szCs w:val="24"/>
              </w:rPr>
            </w:pPr>
          </w:p>
          <w:p w:rsidR="00061B4A" w:rsidRDefault="00061B4A" w:rsidP="00061B4A">
            <w:pPr>
              <w:pStyle w:val="ListParagraph"/>
              <w:numPr>
                <w:ilvl w:val="0"/>
                <w:numId w:val="1"/>
              </w:numPr>
              <w:spacing w:before="100" w:beforeAutospacing="1" w:after="100" w:afterAutospacing="1"/>
              <w:rPr>
                <w:rFonts w:ascii="Arial" w:hAnsi="Arial" w:cs="Arial"/>
                <w:color w:val="000000"/>
                <w:sz w:val="24"/>
                <w:szCs w:val="24"/>
              </w:rPr>
            </w:pPr>
            <w:r w:rsidRPr="00A53F50">
              <w:rPr>
                <w:rFonts w:ascii="Arial" w:hAnsi="Arial" w:cs="Arial"/>
                <w:b/>
                <w:color w:val="000000"/>
                <w:sz w:val="24"/>
                <w:szCs w:val="24"/>
              </w:rPr>
              <w:t>Mental Health</w:t>
            </w:r>
            <w:r w:rsidRPr="00A53F50">
              <w:rPr>
                <w:rFonts w:ascii="Arial" w:hAnsi="Arial" w:cs="Arial"/>
                <w:color w:val="000000"/>
                <w:sz w:val="24"/>
                <w:szCs w:val="24"/>
              </w:rPr>
              <w:t xml:space="preserve"> – a key specialism of AMHP Social workers as well as ongoing casework work with health and community agencies to support people with their Mental Health.</w:t>
            </w:r>
          </w:p>
          <w:p w:rsidR="00061B4A" w:rsidRPr="008A49BD" w:rsidRDefault="00061B4A" w:rsidP="004C1A51">
            <w:pPr>
              <w:pStyle w:val="ListParagraph"/>
              <w:rPr>
                <w:rFonts w:ascii="Arial" w:hAnsi="Arial" w:cs="Arial"/>
                <w:color w:val="000000"/>
                <w:sz w:val="24"/>
                <w:szCs w:val="24"/>
              </w:rPr>
            </w:pPr>
          </w:p>
          <w:p w:rsidR="00061B4A" w:rsidRPr="00A53F50" w:rsidRDefault="00061B4A" w:rsidP="004C1A51">
            <w:pPr>
              <w:pStyle w:val="ListParagraph"/>
              <w:rPr>
                <w:rFonts w:ascii="Arial" w:hAnsi="Arial" w:cs="Arial"/>
                <w:color w:val="000000"/>
                <w:sz w:val="24"/>
                <w:szCs w:val="24"/>
              </w:rPr>
            </w:pPr>
          </w:p>
          <w:p w:rsidR="00061B4A" w:rsidRDefault="00061B4A" w:rsidP="00061B4A">
            <w:pPr>
              <w:pStyle w:val="ListParagraph"/>
              <w:numPr>
                <w:ilvl w:val="0"/>
                <w:numId w:val="1"/>
              </w:numPr>
              <w:spacing w:before="100" w:beforeAutospacing="1" w:after="100" w:afterAutospacing="1"/>
              <w:rPr>
                <w:rFonts w:ascii="Arial" w:hAnsi="Arial" w:cs="Arial"/>
                <w:color w:val="000000"/>
                <w:sz w:val="24"/>
                <w:szCs w:val="24"/>
              </w:rPr>
            </w:pPr>
            <w:r w:rsidRPr="00A53F50">
              <w:rPr>
                <w:rFonts w:ascii="Arial" w:hAnsi="Arial" w:cs="Arial"/>
                <w:b/>
                <w:color w:val="000000"/>
                <w:sz w:val="24"/>
                <w:szCs w:val="24"/>
              </w:rPr>
              <w:t>Adult Safeguarding Team</w:t>
            </w:r>
            <w:r w:rsidRPr="00A53F50">
              <w:rPr>
                <w:rFonts w:ascii="Arial" w:hAnsi="Arial" w:cs="Arial"/>
                <w:color w:val="000000"/>
                <w:sz w:val="24"/>
                <w:szCs w:val="24"/>
              </w:rPr>
              <w:t xml:space="preserve"> – whilst safeguarding is clearly everyone’s responsibility there is a team that work specifically on keeping people safe and were required undertaking investigations when there are allegations of abuse.</w:t>
            </w:r>
          </w:p>
          <w:p w:rsidR="00061B4A" w:rsidRPr="00A53F50" w:rsidRDefault="00061B4A" w:rsidP="004C1A51">
            <w:pPr>
              <w:pStyle w:val="ListParagraph"/>
              <w:rPr>
                <w:rFonts w:ascii="Arial" w:hAnsi="Arial" w:cs="Arial"/>
                <w:color w:val="000000"/>
                <w:sz w:val="24"/>
                <w:szCs w:val="24"/>
              </w:rPr>
            </w:pPr>
          </w:p>
          <w:p w:rsidR="00061B4A" w:rsidRPr="00A53F50" w:rsidRDefault="00061B4A" w:rsidP="00061B4A">
            <w:pPr>
              <w:pStyle w:val="ListParagraph"/>
              <w:numPr>
                <w:ilvl w:val="0"/>
                <w:numId w:val="1"/>
              </w:numPr>
              <w:spacing w:before="100" w:beforeAutospacing="1" w:after="100" w:afterAutospacing="1"/>
              <w:rPr>
                <w:rFonts w:ascii="Arial" w:hAnsi="Arial" w:cs="Arial"/>
                <w:color w:val="000000"/>
                <w:sz w:val="24"/>
                <w:szCs w:val="24"/>
              </w:rPr>
            </w:pPr>
            <w:r w:rsidRPr="00A53F50">
              <w:rPr>
                <w:rFonts w:ascii="Arial" w:hAnsi="Arial" w:cs="Arial"/>
                <w:b/>
                <w:color w:val="000000"/>
                <w:sz w:val="24"/>
                <w:szCs w:val="24"/>
              </w:rPr>
              <w:lastRenderedPageBreak/>
              <w:t>Occupational Therapy</w:t>
            </w:r>
            <w:r w:rsidRPr="00A53F50">
              <w:rPr>
                <w:rFonts w:ascii="Arial" w:hAnsi="Arial" w:cs="Arial"/>
                <w:color w:val="000000"/>
                <w:sz w:val="24"/>
                <w:szCs w:val="24"/>
              </w:rPr>
              <w:t xml:space="preserve"> – This team supports people with Community OT assessments and supply of equipment and adaptions to ensure that people can continue to live independent lives at home and in their community </w:t>
            </w:r>
          </w:p>
        </w:tc>
      </w:tr>
    </w:tbl>
    <w:p w:rsidR="00F26E24" w:rsidRDefault="00F26E24"/>
    <w:sectPr w:rsidR="00F2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C38C4"/>
    <w:multiLevelType w:val="hybridMultilevel"/>
    <w:tmpl w:val="D73C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4A"/>
    <w:rsid w:val="00061B4A"/>
    <w:rsid w:val="00F2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37401-5823-4D99-AB19-42412016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A"/>
    <w:pPr>
      <w:ind w:left="720"/>
      <w:contextualSpacing/>
    </w:pPr>
  </w:style>
  <w:style w:type="table" w:styleId="TableGrid">
    <w:name w:val="Table Grid"/>
    <w:basedOn w:val="TableNormal"/>
    <w:uiPriority w:val="39"/>
    <w:rsid w:val="0006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61B4A"/>
    <w:pPr>
      <w:spacing w:line="240" w:lineRule="auto"/>
    </w:pPr>
    <w:rPr>
      <w:sz w:val="20"/>
      <w:szCs w:val="20"/>
    </w:rPr>
  </w:style>
  <w:style w:type="character" w:customStyle="1" w:styleId="CommentTextChar">
    <w:name w:val="Comment Text Char"/>
    <w:basedOn w:val="DefaultParagraphFont"/>
    <w:link w:val="CommentText"/>
    <w:uiPriority w:val="99"/>
    <w:semiHidden/>
    <w:rsid w:val="00061B4A"/>
    <w:rPr>
      <w:sz w:val="20"/>
      <w:szCs w:val="20"/>
    </w:rPr>
  </w:style>
  <w:style w:type="character" w:styleId="CommentReference">
    <w:name w:val="annotation reference"/>
    <w:basedOn w:val="DefaultParagraphFont"/>
    <w:uiPriority w:val="99"/>
    <w:semiHidden/>
    <w:unhideWhenUsed/>
    <w:rsid w:val="00061B4A"/>
    <w:rPr>
      <w:sz w:val="16"/>
      <w:szCs w:val="16"/>
    </w:rPr>
  </w:style>
  <w:style w:type="paragraph" w:styleId="BalloonText">
    <w:name w:val="Balloon Text"/>
    <w:basedOn w:val="Normal"/>
    <w:link w:val="BalloonTextChar"/>
    <w:uiPriority w:val="99"/>
    <w:semiHidden/>
    <w:unhideWhenUsed/>
    <w:rsid w:val="0006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Joanne</dc:creator>
  <cp:keywords/>
  <dc:description/>
  <cp:lastModifiedBy>Reynolds, Joanne</cp:lastModifiedBy>
  <cp:revision>1</cp:revision>
  <dcterms:created xsi:type="dcterms:W3CDTF">2021-08-25T10:14:00Z</dcterms:created>
  <dcterms:modified xsi:type="dcterms:W3CDTF">2021-08-25T10:14:00Z</dcterms:modified>
</cp:coreProperties>
</file>