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5716" w14:textId="77777777" w:rsidR="00635007" w:rsidRPr="00147529" w:rsidRDefault="00635007" w:rsidP="00147529">
      <w:pPr>
        <w:pStyle w:val="Title"/>
      </w:pPr>
      <w:r w:rsidRPr="00147529">
        <w:t xml:space="preserve">York Access Forum </w:t>
      </w:r>
    </w:p>
    <w:p w14:paraId="54B221E4" w14:textId="2CEF8EA8" w:rsidR="005E698A" w:rsidRPr="00147529" w:rsidRDefault="00635007" w:rsidP="00147529">
      <w:pPr>
        <w:pStyle w:val="Title"/>
      </w:pPr>
      <w:r w:rsidRPr="00147529">
        <w:t>(</w:t>
      </w:r>
      <w:r w:rsidR="00164337" w:rsidRPr="00147529">
        <w:t>F</w:t>
      </w:r>
      <w:r w:rsidRPr="00147529">
        <w:t xml:space="preserve">ormerly the </w:t>
      </w:r>
      <w:r w:rsidR="005E698A" w:rsidRPr="00147529">
        <w:t>Disability Independent Advisory Group</w:t>
      </w:r>
      <w:r w:rsidRPr="00147529">
        <w:t>)</w:t>
      </w:r>
      <w:r w:rsidR="005E698A" w:rsidRPr="00147529">
        <w:t xml:space="preserve"> </w:t>
      </w:r>
    </w:p>
    <w:p w14:paraId="16F7AFB3" w14:textId="055902F8" w:rsidR="005E698A" w:rsidRPr="00147529" w:rsidRDefault="00B20AFB" w:rsidP="00147529">
      <w:pPr>
        <w:pStyle w:val="Title"/>
      </w:pPr>
      <w:r>
        <w:t>24</w:t>
      </w:r>
      <w:r w:rsidR="005E698A" w:rsidRPr="00147529">
        <w:t>th Ma</w:t>
      </w:r>
      <w:r>
        <w:t>y</w:t>
      </w:r>
      <w:r w:rsidR="005E698A" w:rsidRPr="00147529">
        <w:t xml:space="preserve"> 2023</w:t>
      </w:r>
      <w:r w:rsidR="00635007" w:rsidRPr="00147529">
        <w:t>,</w:t>
      </w:r>
      <w:r w:rsidR="005E698A" w:rsidRPr="00147529">
        <w:t xml:space="preserve"> </w:t>
      </w:r>
      <w:r w:rsidR="00635007" w:rsidRPr="00147529">
        <w:t>1</w:t>
      </w:r>
      <w:r>
        <w:t>0</w:t>
      </w:r>
      <w:r w:rsidR="00635007" w:rsidRPr="00147529">
        <w:t>:00–1</w:t>
      </w:r>
      <w:r>
        <w:t>2</w:t>
      </w:r>
      <w:r w:rsidR="00635007" w:rsidRPr="00147529">
        <w:t>:</w:t>
      </w:r>
      <w:r>
        <w:t>0</w:t>
      </w:r>
      <w:r w:rsidR="00635007" w:rsidRPr="00147529">
        <w:t>0</w:t>
      </w:r>
    </w:p>
    <w:p w14:paraId="371C35E7" w14:textId="77777777" w:rsidR="005E698A" w:rsidRPr="00147529" w:rsidRDefault="005E698A" w:rsidP="00147529">
      <w:pPr>
        <w:pStyle w:val="Title"/>
      </w:pPr>
      <w:r w:rsidRPr="00147529">
        <w:t>Hudson Room, West Offices and on Teams</w:t>
      </w:r>
    </w:p>
    <w:p w14:paraId="50401E01" w14:textId="5BA3628F" w:rsidR="005E698A" w:rsidRPr="00147529" w:rsidRDefault="005E698A" w:rsidP="00147529">
      <w:pPr>
        <w:pStyle w:val="Title"/>
      </w:pPr>
      <w:r w:rsidRPr="00147529">
        <w:t>Meeting Minutes</w:t>
      </w:r>
    </w:p>
    <w:p w14:paraId="2DD837DE" w14:textId="59AA17C9" w:rsidR="005E698A" w:rsidRPr="00147529" w:rsidRDefault="00755063" w:rsidP="00147529">
      <w:pPr>
        <w:pStyle w:val="Heading2"/>
      </w:pPr>
      <w:r w:rsidRPr="00147529">
        <w:t>Present</w:t>
      </w:r>
      <w:r w:rsidR="005F20C1" w:rsidRPr="00147529">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7"/>
      </w:tblGrid>
      <w:tr w:rsidR="00755063" w:rsidRPr="00755063" w14:paraId="3E4DDE43" w14:textId="77777777" w:rsidTr="006713AA">
        <w:trPr>
          <w:trHeight w:val="236"/>
          <w:tblHeader/>
        </w:trPr>
        <w:tc>
          <w:tcPr>
            <w:tcW w:w="3397"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6237"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755063" w:rsidRPr="00755063" w14:paraId="1C7A14BC" w14:textId="77777777" w:rsidTr="006713AA">
        <w:tc>
          <w:tcPr>
            <w:tcW w:w="3397" w:type="dxa"/>
            <w:shd w:val="clear" w:color="auto" w:fill="auto"/>
          </w:tcPr>
          <w:p w14:paraId="4C5496B1" w14:textId="08CB5AC9" w:rsidR="00755063" w:rsidRPr="003A5106" w:rsidRDefault="00755063" w:rsidP="003A5106">
            <w:pPr>
              <w:pStyle w:val="BoxHeader"/>
            </w:pPr>
            <w:r w:rsidRPr="003A5106">
              <w:t>Dave Smith</w:t>
            </w:r>
            <w:r w:rsidR="006713AA">
              <w:t xml:space="preserve"> (DS)</w:t>
            </w:r>
          </w:p>
        </w:tc>
        <w:tc>
          <w:tcPr>
            <w:tcW w:w="6237" w:type="dxa"/>
          </w:tcPr>
          <w:p w14:paraId="6425E2C9" w14:textId="618D5B8A" w:rsidR="00755063" w:rsidRPr="003A5106" w:rsidRDefault="00755063" w:rsidP="003A5106">
            <w:pPr>
              <w:pStyle w:val="BoxText"/>
            </w:pPr>
            <w:r w:rsidRPr="003A5106">
              <w:t>Access Officer, City of York Council (CYC)</w:t>
            </w:r>
          </w:p>
        </w:tc>
      </w:tr>
      <w:tr w:rsidR="00755063" w:rsidRPr="00755063" w14:paraId="71134EF7" w14:textId="77777777" w:rsidTr="006713AA">
        <w:tc>
          <w:tcPr>
            <w:tcW w:w="3397" w:type="dxa"/>
            <w:shd w:val="clear" w:color="auto" w:fill="auto"/>
          </w:tcPr>
          <w:p w14:paraId="127A305D" w14:textId="6963CAF6" w:rsidR="00755063" w:rsidRPr="00147529" w:rsidRDefault="00755063" w:rsidP="003A5106">
            <w:pPr>
              <w:pStyle w:val="BoxHeader"/>
              <w:rPr>
                <w:rFonts w:ascii="Arial" w:hAnsi="Arial"/>
                <w:sz w:val="20"/>
                <w:szCs w:val="20"/>
              </w:rPr>
            </w:pPr>
            <w:r w:rsidRPr="00147529">
              <w:t>Lauren Talbot</w:t>
            </w:r>
            <w:r w:rsidR="006713AA">
              <w:t xml:space="preserve"> (LT)</w:t>
            </w:r>
          </w:p>
        </w:tc>
        <w:tc>
          <w:tcPr>
            <w:tcW w:w="6237" w:type="dxa"/>
          </w:tcPr>
          <w:p w14:paraId="749E1EDF" w14:textId="226EC5EB" w:rsidR="00755063" w:rsidRPr="00755063" w:rsidRDefault="00755063" w:rsidP="003A5106">
            <w:pPr>
              <w:pStyle w:val="BoxText"/>
              <w:rPr>
                <w:rFonts w:ascii="Arial" w:hAnsi="Arial"/>
                <w:sz w:val="20"/>
                <w:szCs w:val="20"/>
              </w:rPr>
            </w:pPr>
            <w:r w:rsidRPr="00442A10">
              <w:t>YorSensory (Wilberforce Trust)</w:t>
            </w:r>
          </w:p>
        </w:tc>
      </w:tr>
      <w:tr w:rsidR="00755063" w:rsidRPr="00755063" w14:paraId="32ADAD5B" w14:textId="77777777" w:rsidTr="006713AA">
        <w:tc>
          <w:tcPr>
            <w:tcW w:w="3397" w:type="dxa"/>
            <w:shd w:val="clear" w:color="auto" w:fill="auto"/>
          </w:tcPr>
          <w:p w14:paraId="0CC9409C" w14:textId="68403C89" w:rsidR="00755063" w:rsidRPr="00147529" w:rsidRDefault="00755063" w:rsidP="003A5106">
            <w:pPr>
              <w:pStyle w:val="BoxHeader"/>
              <w:rPr>
                <w:rFonts w:ascii="Arial" w:hAnsi="Arial"/>
                <w:sz w:val="20"/>
                <w:szCs w:val="20"/>
              </w:rPr>
            </w:pPr>
            <w:r w:rsidRPr="00147529">
              <w:t>Scott Jobson</w:t>
            </w:r>
            <w:r w:rsidR="006713AA">
              <w:t xml:space="preserve"> (SJ)</w:t>
            </w:r>
          </w:p>
        </w:tc>
        <w:tc>
          <w:tcPr>
            <w:tcW w:w="6237" w:type="dxa"/>
          </w:tcPr>
          <w:p w14:paraId="1FC06349" w14:textId="744126EF" w:rsidR="00755063" w:rsidRPr="00755063" w:rsidRDefault="00755063" w:rsidP="003A5106">
            <w:pPr>
              <w:pStyle w:val="BoxText"/>
              <w:rPr>
                <w:rFonts w:ascii="Arial" w:hAnsi="Arial"/>
                <w:sz w:val="20"/>
                <w:szCs w:val="20"/>
              </w:rPr>
            </w:pPr>
            <w:r w:rsidRPr="00442A10">
              <w:t>MySight York</w:t>
            </w:r>
          </w:p>
        </w:tc>
      </w:tr>
      <w:tr w:rsidR="00B20AFB" w:rsidRPr="00755063" w14:paraId="398FC63C" w14:textId="77777777" w:rsidTr="006713AA">
        <w:tc>
          <w:tcPr>
            <w:tcW w:w="3397" w:type="dxa"/>
            <w:shd w:val="clear" w:color="auto" w:fill="auto"/>
          </w:tcPr>
          <w:p w14:paraId="3E6FCAB8" w14:textId="0FB6A9FF" w:rsidR="00B20AFB" w:rsidRPr="00147529" w:rsidRDefault="00B20AFB" w:rsidP="00B20AFB">
            <w:pPr>
              <w:pStyle w:val="BoxHeader"/>
            </w:pPr>
            <w:r w:rsidRPr="00147529">
              <w:t>Flick Williams</w:t>
            </w:r>
            <w:r w:rsidR="006713AA">
              <w:t xml:space="preserve"> (FW)</w:t>
            </w:r>
          </w:p>
        </w:tc>
        <w:tc>
          <w:tcPr>
            <w:tcW w:w="6237" w:type="dxa"/>
          </w:tcPr>
          <w:p w14:paraId="61C0B940" w14:textId="1E1CEA53" w:rsidR="00B20AFB" w:rsidRPr="00442A10" w:rsidRDefault="00B20AFB" w:rsidP="00B20AFB">
            <w:pPr>
              <w:pStyle w:val="BoxText"/>
            </w:pPr>
            <w:r>
              <w:t>Independent</w:t>
            </w:r>
          </w:p>
        </w:tc>
      </w:tr>
      <w:tr w:rsidR="00B20AFB" w:rsidRPr="00755063" w14:paraId="3351BB29" w14:textId="77777777" w:rsidTr="006713AA">
        <w:tc>
          <w:tcPr>
            <w:tcW w:w="3397" w:type="dxa"/>
            <w:shd w:val="clear" w:color="auto" w:fill="auto"/>
          </w:tcPr>
          <w:p w14:paraId="2F94D90A" w14:textId="40707589" w:rsidR="00B20AFB" w:rsidRPr="00147529" w:rsidRDefault="00B20AFB" w:rsidP="003A5106">
            <w:pPr>
              <w:pStyle w:val="BoxHeader"/>
            </w:pPr>
            <w:r>
              <w:t>Si</w:t>
            </w:r>
            <w:r w:rsidR="00E80747">
              <w:t>a</w:t>
            </w:r>
            <w:r>
              <w:t>n Balsom</w:t>
            </w:r>
            <w:r w:rsidR="006713AA">
              <w:t xml:space="preserve"> (SB)</w:t>
            </w:r>
          </w:p>
        </w:tc>
        <w:tc>
          <w:tcPr>
            <w:tcW w:w="6237" w:type="dxa"/>
          </w:tcPr>
          <w:p w14:paraId="7C5711C5" w14:textId="7C3B56CF" w:rsidR="00B20AFB" w:rsidRPr="00442A10" w:rsidRDefault="00B20AFB" w:rsidP="003A5106">
            <w:pPr>
              <w:pStyle w:val="BoxText"/>
            </w:pPr>
            <w:r>
              <w:t>Healthwatch York</w:t>
            </w:r>
          </w:p>
        </w:tc>
      </w:tr>
      <w:tr w:rsidR="00B20AFB" w:rsidRPr="00755063" w14:paraId="198B3E47" w14:textId="77777777" w:rsidTr="006713AA">
        <w:tc>
          <w:tcPr>
            <w:tcW w:w="3397" w:type="dxa"/>
            <w:shd w:val="clear" w:color="auto" w:fill="auto"/>
          </w:tcPr>
          <w:p w14:paraId="1E78220D" w14:textId="1EB78323" w:rsidR="00B20AFB" w:rsidRPr="00147529" w:rsidRDefault="00B20AFB" w:rsidP="003A5106">
            <w:pPr>
              <w:pStyle w:val="BoxHeader"/>
            </w:pPr>
            <w:r>
              <w:t>Tom Baynes</w:t>
            </w:r>
            <w:r w:rsidR="006713AA">
              <w:t xml:space="preserve"> (TB)</w:t>
            </w:r>
          </w:p>
        </w:tc>
        <w:tc>
          <w:tcPr>
            <w:tcW w:w="6237" w:type="dxa"/>
          </w:tcPr>
          <w:p w14:paraId="01BF0E10" w14:textId="42AE67BD" w:rsidR="00B20AFB" w:rsidRPr="0065307E" w:rsidRDefault="0065307E" w:rsidP="003A5106">
            <w:pPr>
              <w:pStyle w:val="BoxText"/>
            </w:pPr>
            <w:r>
              <w:t>Representing SEND groups</w:t>
            </w:r>
          </w:p>
        </w:tc>
      </w:tr>
      <w:tr w:rsidR="00B20AFB" w:rsidRPr="00755063" w14:paraId="1BE618E6" w14:textId="77777777" w:rsidTr="006713AA">
        <w:tc>
          <w:tcPr>
            <w:tcW w:w="3397" w:type="dxa"/>
            <w:shd w:val="clear" w:color="auto" w:fill="auto"/>
          </w:tcPr>
          <w:p w14:paraId="0DE0E1B2" w14:textId="3F45E828" w:rsidR="00B20AFB" w:rsidRPr="00147529" w:rsidRDefault="00174124" w:rsidP="003A5106">
            <w:pPr>
              <w:pStyle w:val="BoxHeader"/>
            </w:pPr>
            <w:r>
              <w:t>Laura Brown</w:t>
            </w:r>
            <w:r w:rsidR="006713AA">
              <w:t xml:space="preserve"> (LB)</w:t>
            </w:r>
          </w:p>
        </w:tc>
        <w:tc>
          <w:tcPr>
            <w:tcW w:w="6237" w:type="dxa"/>
          </w:tcPr>
          <w:p w14:paraId="073F211D" w14:textId="60B04342" w:rsidR="00B20AFB" w:rsidRPr="00442A10" w:rsidRDefault="00174124" w:rsidP="003A5106">
            <w:pPr>
              <w:pStyle w:val="BoxText"/>
            </w:pPr>
            <w:r>
              <w:t>Local Offer &amp; Participation Officer – Special Educational Needs (CYC) – supporting Tom</w:t>
            </w:r>
            <w:r w:rsidR="00065408">
              <w:t xml:space="preserve"> Baynes</w:t>
            </w:r>
          </w:p>
        </w:tc>
      </w:tr>
      <w:tr w:rsidR="00B20AFB" w:rsidRPr="00755063" w14:paraId="65612BA5" w14:textId="77777777" w:rsidTr="006713AA">
        <w:tc>
          <w:tcPr>
            <w:tcW w:w="3397" w:type="dxa"/>
            <w:shd w:val="clear" w:color="auto" w:fill="auto"/>
          </w:tcPr>
          <w:p w14:paraId="6555EE58" w14:textId="5A54214A" w:rsidR="00B20AFB" w:rsidRPr="00147529" w:rsidRDefault="00174124" w:rsidP="003A5106">
            <w:pPr>
              <w:pStyle w:val="BoxHeader"/>
            </w:pPr>
            <w:r>
              <w:t>Stan Fairclough</w:t>
            </w:r>
            <w:r w:rsidR="006713AA">
              <w:t xml:space="preserve"> (SF)</w:t>
            </w:r>
          </w:p>
        </w:tc>
        <w:tc>
          <w:tcPr>
            <w:tcW w:w="6237" w:type="dxa"/>
          </w:tcPr>
          <w:p w14:paraId="2CA5880D" w14:textId="5F26CEBE" w:rsidR="00B20AFB" w:rsidRPr="00442A10" w:rsidRDefault="00D31E96" w:rsidP="003A5106">
            <w:pPr>
              <w:pStyle w:val="BoxText"/>
            </w:pPr>
            <w:r>
              <w:t>Representing SEND groups</w:t>
            </w:r>
          </w:p>
        </w:tc>
      </w:tr>
      <w:tr w:rsidR="00755063" w:rsidRPr="00755063" w14:paraId="50DE3C42" w14:textId="77777777" w:rsidTr="006713AA">
        <w:tc>
          <w:tcPr>
            <w:tcW w:w="3397" w:type="dxa"/>
            <w:shd w:val="clear" w:color="auto" w:fill="auto"/>
          </w:tcPr>
          <w:p w14:paraId="4BE03AA0" w14:textId="0F6DAA18" w:rsidR="00755063" w:rsidRPr="00147529" w:rsidRDefault="00D218E8" w:rsidP="003A5106">
            <w:pPr>
              <w:pStyle w:val="BoxHeader"/>
              <w:rPr>
                <w:rFonts w:ascii="Arial" w:hAnsi="Arial"/>
                <w:sz w:val="20"/>
                <w:szCs w:val="20"/>
              </w:rPr>
            </w:pPr>
            <w:r w:rsidRPr="00D218E8">
              <w:t>Catherine Fairclough</w:t>
            </w:r>
            <w:r w:rsidR="006713AA">
              <w:t xml:space="preserve"> (CB)</w:t>
            </w:r>
          </w:p>
        </w:tc>
        <w:tc>
          <w:tcPr>
            <w:tcW w:w="6237" w:type="dxa"/>
          </w:tcPr>
          <w:p w14:paraId="7435D94C" w14:textId="688358CC" w:rsidR="00755063" w:rsidRPr="00755063" w:rsidRDefault="00D218E8" w:rsidP="003A5106">
            <w:pPr>
              <w:pStyle w:val="BoxText"/>
              <w:rPr>
                <w:rFonts w:ascii="Arial" w:hAnsi="Arial"/>
                <w:sz w:val="20"/>
                <w:szCs w:val="20"/>
                <w:lang w:eastAsia="en-GB"/>
              </w:rPr>
            </w:pPr>
            <w:r w:rsidRPr="00D218E8">
              <w:t>Supporting Stan Fairclough</w:t>
            </w:r>
          </w:p>
        </w:tc>
      </w:tr>
      <w:tr w:rsidR="00755063" w:rsidRPr="00755063" w14:paraId="2053AAE2" w14:textId="77777777" w:rsidTr="006713AA">
        <w:tc>
          <w:tcPr>
            <w:tcW w:w="3397" w:type="dxa"/>
            <w:shd w:val="clear" w:color="auto" w:fill="auto"/>
          </w:tcPr>
          <w:p w14:paraId="78BA8F5B" w14:textId="000A2812" w:rsidR="00755063" w:rsidRPr="00147529" w:rsidRDefault="00D218E8" w:rsidP="003A5106">
            <w:pPr>
              <w:pStyle w:val="BoxHeader"/>
              <w:rPr>
                <w:rFonts w:ascii="Arial" w:hAnsi="Arial"/>
                <w:sz w:val="20"/>
                <w:szCs w:val="20"/>
              </w:rPr>
            </w:pPr>
            <w:r w:rsidRPr="00D218E8">
              <w:t>Anne Norton</w:t>
            </w:r>
            <w:r w:rsidR="006713AA">
              <w:t xml:space="preserve"> (AN)</w:t>
            </w:r>
          </w:p>
        </w:tc>
        <w:tc>
          <w:tcPr>
            <w:tcW w:w="6237" w:type="dxa"/>
          </w:tcPr>
          <w:p w14:paraId="281A9F07" w14:textId="28635E52" w:rsidR="00755063" w:rsidRPr="00755063" w:rsidRDefault="00755063" w:rsidP="003A5106">
            <w:pPr>
              <w:pStyle w:val="BoxText"/>
              <w:rPr>
                <w:rFonts w:ascii="Arial" w:hAnsi="Arial"/>
                <w:sz w:val="20"/>
                <w:szCs w:val="20"/>
              </w:rPr>
            </w:pPr>
            <w:r w:rsidRPr="00442A10">
              <w:t>York Disability Rights Forum</w:t>
            </w:r>
          </w:p>
        </w:tc>
      </w:tr>
      <w:tr w:rsidR="00D218E8" w:rsidRPr="00755063" w14:paraId="49E05E92" w14:textId="77777777" w:rsidTr="006713AA">
        <w:tc>
          <w:tcPr>
            <w:tcW w:w="3397" w:type="dxa"/>
            <w:shd w:val="clear" w:color="auto" w:fill="auto"/>
          </w:tcPr>
          <w:p w14:paraId="44CF63B0" w14:textId="0A985830" w:rsidR="00D218E8" w:rsidRPr="00147529" w:rsidRDefault="00D218E8" w:rsidP="00D218E8">
            <w:pPr>
              <w:pStyle w:val="BoxHeader"/>
              <w:rPr>
                <w:rFonts w:ascii="Arial" w:hAnsi="Arial"/>
                <w:sz w:val="20"/>
                <w:szCs w:val="20"/>
              </w:rPr>
            </w:pPr>
            <w:r w:rsidRPr="00147529">
              <w:t>Rachel Barber</w:t>
            </w:r>
            <w:r w:rsidR="006713AA">
              <w:t xml:space="preserve"> (RB)</w:t>
            </w:r>
          </w:p>
        </w:tc>
        <w:tc>
          <w:tcPr>
            <w:tcW w:w="6237" w:type="dxa"/>
          </w:tcPr>
          <w:p w14:paraId="63302AA1" w14:textId="38056D42" w:rsidR="00D218E8" w:rsidRPr="00755063" w:rsidRDefault="00D218E8" w:rsidP="00D218E8">
            <w:pPr>
              <w:pStyle w:val="BoxText"/>
              <w:rPr>
                <w:rFonts w:ascii="Arial" w:hAnsi="Arial"/>
                <w:sz w:val="20"/>
                <w:szCs w:val="20"/>
              </w:rPr>
            </w:pPr>
            <w:r w:rsidRPr="00442A10">
              <w:t>Living 4 Moments</w:t>
            </w:r>
          </w:p>
        </w:tc>
      </w:tr>
      <w:tr w:rsidR="00755063" w:rsidRPr="00755063" w14:paraId="032735E9" w14:textId="77777777" w:rsidTr="006713AA">
        <w:tc>
          <w:tcPr>
            <w:tcW w:w="3397" w:type="dxa"/>
            <w:shd w:val="clear" w:color="auto" w:fill="auto"/>
          </w:tcPr>
          <w:p w14:paraId="3F98D916" w14:textId="53F78EED" w:rsidR="00755063" w:rsidRPr="00D218E8" w:rsidRDefault="00D218E8" w:rsidP="003A5106">
            <w:pPr>
              <w:pStyle w:val="BoxHeader"/>
            </w:pPr>
            <w:r w:rsidRPr="00D218E8">
              <w:t>Diane Roworth</w:t>
            </w:r>
            <w:r w:rsidR="006713AA">
              <w:t xml:space="preserve"> (DR)</w:t>
            </w:r>
          </w:p>
        </w:tc>
        <w:tc>
          <w:tcPr>
            <w:tcW w:w="6237" w:type="dxa"/>
          </w:tcPr>
          <w:p w14:paraId="65CCF6DC" w14:textId="380ABA03" w:rsidR="00755063" w:rsidRPr="00D218E8" w:rsidRDefault="00D218E8" w:rsidP="003A5106">
            <w:pPr>
              <w:pStyle w:val="BoxText"/>
              <w:rPr>
                <w:b/>
                <w:bCs w:val="0"/>
              </w:rPr>
            </w:pPr>
            <w:r w:rsidRPr="00D218E8">
              <w:t>Independent</w:t>
            </w:r>
          </w:p>
        </w:tc>
      </w:tr>
      <w:tr w:rsidR="00D218E8" w:rsidRPr="00755063" w14:paraId="136C4A0B" w14:textId="77777777" w:rsidTr="006713AA">
        <w:tc>
          <w:tcPr>
            <w:tcW w:w="3397" w:type="dxa"/>
            <w:shd w:val="clear" w:color="auto" w:fill="auto"/>
          </w:tcPr>
          <w:p w14:paraId="124BD2E9" w14:textId="17971298" w:rsidR="00D218E8" w:rsidRPr="00147529" w:rsidRDefault="00D218E8" w:rsidP="00D218E8">
            <w:pPr>
              <w:pStyle w:val="BoxHeader"/>
            </w:pPr>
            <w:r w:rsidRPr="00147529">
              <w:t>Hannah Hardcastle</w:t>
            </w:r>
            <w:r w:rsidR="006713AA">
              <w:t xml:space="preserve"> (HH)</w:t>
            </w:r>
          </w:p>
        </w:tc>
        <w:tc>
          <w:tcPr>
            <w:tcW w:w="6237" w:type="dxa"/>
            <w:vAlign w:val="center"/>
          </w:tcPr>
          <w:p w14:paraId="01E6EF05" w14:textId="6B92E3FC" w:rsidR="00D218E8" w:rsidRPr="00755063" w:rsidRDefault="00D218E8" w:rsidP="00D218E8">
            <w:pPr>
              <w:pStyle w:val="BoxText"/>
            </w:pPr>
            <w:r w:rsidRPr="00442A10">
              <w:t>Accessible Arts and Media</w:t>
            </w:r>
          </w:p>
        </w:tc>
      </w:tr>
      <w:tr w:rsidR="00755063" w:rsidRPr="00755063" w14:paraId="6A60557F" w14:textId="77777777" w:rsidTr="006713AA">
        <w:tc>
          <w:tcPr>
            <w:tcW w:w="3397" w:type="dxa"/>
            <w:shd w:val="clear" w:color="auto" w:fill="auto"/>
          </w:tcPr>
          <w:p w14:paraId="3C613674" w14:textId="4D5BCB89" w:rsidR="00755063" w:rsidRPr="00147529" w:rsidRDefault="00755063" w:rsidP="003A5106">
            <w:pPr>
              <w:pStyle w:val="BoxHeader"/>
              <w:rPr>
                <w:rFonts w:ascii="Arial" w:hAnsi="Arial"/>
                <w:sz w:val="20"/>
                <w:szCs w:val="20"/>
              </w:rPr>
            </w:pPr>
            <w:r w:rsidRPr="00147529">
              <w:t>J</w:t>
            </w:r>
            <w:r w:rsidR="00D218E8">
              <w:t>oanne Ellis</w:t>
            </w:r>
            <w:r w:rsidR="006713AA">
              <w:t xml:space="preserve"> (JE)</w:t>
            </w:r>
          </w:p>
        </w:tc>
        <w:tc>
          <w:tcPr>
            <w:tcW w:w="6237" w:type="dxa"/>
          </w:tcPr>
          <w:p w14:paraId="7872E24B" w14:textId="0FA1A6C8" w:rsidR="00755063" w:rsidRPr="00755063" w:rsidRDefault="00D218E8" w:rsidP="003A5106">
            <w:pPr>
              <w:pStyle w:val="BoxText"/>
              <w:rPr>
                <w:rFonts w:ascii="Arial" w:hAnsi="Arial"/>
                <w:sz w:val="20"/>
                <w:szCs w:val="20"/>
                <w:lang w:eastAsia="en-GB"/>
              </w:rPr>
            </w:pPr>
            <w:r>
              <w:t>Shopmobil</w:t>
            </w:r>
            <w:r w:rsidR="006E08F1">
              <w:t>i</w:t>
            </w:r>
            <w:r>
              <w:t>ty</w:t>
            </w:r>
          </w:p>
        </w:tc>
      </w:tr>
      <w:tr w:rsidR="00755063" w:rsidRPr="00755063" w14:paraId="3152C15F" w14:textId="77777777" w:rsidTr="006713AA">
        <w:tc>
          <w:tcPr>
            <w:tcW w:w="3397" w:type="dxa"/>
            <w:shd w:val="clear" w:color="auto" w:fill="auto"/>
          </w:tcPr>
          <w:p w14:paraId="03016933" w14:textId="5AE76207" w:rsidR="00755063" w:rsidRPr="00147529" w:rsidRDefault="00D218E8" w:rsidP="003A5106">
            <w:pPr>
              <w:pStyle w:val="BoxHeader"/>
              <w:rPr>
                <w:rFonts w:ascii="Arial" w:hAnsi="Arial"/>
                <w:sz w:val="20"/>
                <w:szCs w:val="20"/>
              </w:rPr>
            </w:pPr>
            <w:r w:rsidRPr="00D218E8">
              <w:t>Will Orpin</w:t>
            </w:r>
            <w:r w:rsidR="006713AA">
              <w:t xml:space="preserve"> (WO)</w:t>
            </w:r>
          </w:p>
        </w:tc>
        <w:tc>
          <w:tcPr>
            <w:tcW w:w="6237" w:type="dxa"/>
          </w:tcPr>
          <w:p w14:paraId="682D6A45" w14:textId="58CBBDC1" w:rsidR="00755063" w:rsidRPr="00755063" w:rsidRDefault="00D218E8" w:rsidP="003A5106">
            <w:pPr>
              <w:pStyle w:val="BoxText"/>
              <w:rPr>
                <w:rFonts w:ascii="Arial" w:hAnsi="Arial"/>
                <w:sz w:val="20"/>
                <w:szCs w:val="20"/>
                <w:lang w:eastAsia="en-GB"/>
              </w:rPr>
            </w:pPr>
            <w:r w:rsidRPr="00D218E8">
              <w:t xml:space="preserve">Apprentice, Access Team </w:t>
            </w:r>
            <w:r w:rsidR="00065408">
              <w:t>(</w:t>
            </w:r>
            <w:r w:rsidRPr="00D218E8">
              <w:t>CYC</w:t>
            </w:r>
            <w:r w:rsidR="00065408">
              <w:t>)</w:t>
            </w:r>
          </w:p>
        </w:tc>
      </w:tr>
      <w:tr w:rsidR="00755063" w:rsidRPr="00755063" w14:paraId="78C16DB2" w14:textId="77777777" w:rsidTr="006713AA">
        <w:tc>
          <w:tcPr>
            <w:tcW w:w="3397" w:type="dxa"/>
            <w:shd w:val="clear" w:color="auto" w:fill="auto"/>
          </w:tcPr>
          <w:p w14:paraId="4ED11DFF" w14:textId="009524F3" w:rsidR="00755063" w:rsidRPr="00147529" w:rsidRDefault="00D218E8" w:rsidP="003A5106">
            <w:pPr>
              <w:pStyle w:val="BoxHeader"/>
              <w:rPr>
                <w:rFonts w:ascii="Arial" w:hAnsi="Arial"/>
                <w:sz w:val="20"/>
                <w:szCs w:val="20"/>
              </w:rPr>
            </w:pPr>
            <w:r w:rsidRPr="00D218E8">
              <w:t>Gareth Arnold</w:t>
            </w:r>
            <w:r w:rsidR="006713AA">
              <w:t xml:space="preserve"> (GA)</w:t>
            </w:r>
            <w:r w:rsidRPr="00D218E8">
              <w:t xml:space="preserve"> </w:t>
            </w:r>
            <w:r w:rsidRPr="00D218E8">
              <w:rPr>
                <w:b w:val="0"/>
                <w:bCs/>
              </w:rPr>
              <w:t>(part)</w:t>
            </w:r>
          </w:p>
        </w:tc>
        <w:tc>
          <w:tcPr>
            <w:tcW w:w="6237" w:type="dxa"/>
          </w:tcPr>
          <w:p w14:paraId="47789A3A" w14:textId="60BF42E9" w:rsidR="00755063" w:rsidRPr="002254AC" w:rsidRDefault="00065408" w:rsidP="003A5106">
            <w:pPr>
              <w:pStyle w:val="BoxText"/>
              <w:rPr>
                <w:lang w:eastAsia="en-GB"/>
              </w:rPr>
            </w:pPr>
            <w:r>
              <w:rPr>
                <w:lang w:eastAsia="en-GB"/>
              </w:rPr>
              <w:t>Development Management Team Leader (CYC)</w:t>
            </w:r>
          </w:p>
        </w:tc>
      </w:tr>
      <w:tr w:rsidR="00755063" w:rsidRPr="00755063" w14:paraId="1E14FADD" w14:textId="77777777" w:rsidTr="006713AA">
        <w:tc>
          <w:tcPr>
            <w:tcW w:w="3397" w:type="dxa"/>
            <w:shd w:val="clear" w:color="auto" w:fill="auto"/>
          </w:tcPr>
          <w:p w14:paraId="2F9A4292" w14:textId="497E42A7" w:rsidR="00755063" w:rsidRPr="00D218E8" w:rsidRDefault="00D218E8" w:rsidP="003A5106">
            <w:pPr>
              <w:pStyle w:val="BoxHeader"/>
              <w:rPr>
                <w:rFonts w:ascii="Arial" w:hAnsi="Arial"/>
                <w:b w:val="0"/>
                <w:bCs/>
                <w:sz w:val="20"/>
                <w:szCs w:val="20"/>
              </w:rPr>
            </w:pPr>
            <w:r w:rsidRPr="00D218E8">
              <w:t>Helen Kane</w:t>
            </w:r>
            <w:r>
              <w:t xml:space="preserve"> </w:t>
            </w:r>
            <w:r w:rsidR="006713AA">
              <w:t xml:space="preserve">(HK) </w:t>
            </w:r>
            <w:r>
              <w:rPr>
                <w:b w:val="0"/>
                <w:bCs/>
              </w:rPr>
              <w:t>(part)</w:t>
            </w:r>
          </w:p>
        </w:tc>
        <w:tc>
          <w:tcPr>
            <w:tcW w:w="6237" w:type="dxa"/>
          </w:tcPr>
          <w:p w14:paraId="4BF8AD16" w14:textId="42DF8EF9" w:rsidR="00755063" w:rsidRPr="00065408" w:rsidRDefault="00C639B2" w:rsidP="003A5106">
            <w:pPr>
              <w:pStyle w:val="BoxText"/>
              <w:rPr>
                <w:lang w:eastAsia="en-GB"/>
              </w:rPr>
            </w:pPr>
            <w:r w:rsidRPr="00065408">
              <w:rPr>
                <w:lang w:eastAsia="en-GB"/>
              </w:rPr>
              <w:t>Access Consultant</w:t>
            </w:r>
            <w:r w:rsidR="00065408">
              <w:rPr>
                <w:lang w:eastAsia="en-GB"/>
              </w:rPr>
              <w:t xml:space="preserve">, Access Included </w:t>
            </w:r>
          </w:p>
        </w:tc>
      </w:tr>
      <w:tr w:rsidR="00755063" w:rsidRPr="00755063" w14:paraId="2A6F0304" w14:textId="77777777" w:rsidTr="006713AA">
        <w:tc>
          <w:tcPr>
            <w:tcW w:w="3397" w:type="dxa"/>
            <w:shd w:val="clear" w:color="auto" w:fill="auto"/>
          </w:tcPr>
          <w:p w14:paraId="25E8A9E8" w14:textId="4701D378" w:rsidR="00755063" w:rsidRPr="00147529" w:rsidRDefault="00D218E8" w:rsidP="003A5106">
            <w:pPr>
              <w:pStyle w:val="BoxHeader"/>
              <w:rPr>
                <w:rFonts w:ascii="Arial" w:hAnsi="Arial"/>
                <w:sz w:val="20"/>
                <w:szCs w:val="20"/>
              </w:rPr>
            </w:pPr>
            <w:r w:rsidRPr="00D218E8">
              <w:t xml:space="preserve">Naomi </w:t>
            </w:r>
            <w:proofErr w:type="spellStart"/>
            <w:r w:rsidRPr="00D218E8">
              <w:t>Demsash</w:t>
            </w:r>
            <w:proofErr w:type="spellEnd"/>
            <w:r w:rsidR="006713AA">
              <w:t xml:space="preserve"> (ND)</w:t>
            </w:r>
            <w:r>
              <w:rPr>
                <w:rFonts w:ascii="Arial" w:hAnsi="Arial"/>
                <w:sz w:val="20"/>
                <w:szCs w:val="20"/>
              </w:rPr>
              <w:t xml:space="preserve"> </w:t>
            </w:r>
          </w:p>
        </w:tc>
        <w:tc>
          <w:tcPr>
            <w:tcW w:w="6237" w:type="dxa"/>
          </w:tcPr>
          <w:p w14:paraId="69CAF6E8" w14:textId="55279D5B" w:rsidR="00755063" w:rsidRPr="00755063" w:rsidRDefault="00D218E8" w:rsidP="003A5106">
            <w:pPr>
              <w:pStyle w:val="BoxText"/>
              <w:rPr>
                <w:rFonts w:ascii="Arial" w:hAnsi="Arial"/>
                <w:sz w:val="20"/>
                <w:szCs w:val="20"/>
                <w:lang w:eastAsia="en-GB"/>
              </w:rPr>
            </w:pPr>
            <w:r>
              <w:t>W</w:t>
            </w:r>
            <w:r w:rsidRPr="00D218E8">
              <w:t xml:space="preserve">ork experience </w:t>
            </w:r>
            <w:r>
              <w:t>s</w:t>
            </w:r>
            <w:r w:rsidRPr="00D218E8">
              <w:t>tudent</w:t>
            </w:r>
            <w:r w:rsidR="002254AC">
              <w:t xml:space="preserve"> </w:t>
            </w:r>
            <w:r w:rsidR="002254AC" w:rsidRPr="002254AC">
              <w:t>(observing)</w:t>
            </w:r>
          </w:p>
        </w:tc>
      </w:tr>
      <w:bookmarkEnd w:id="0"/>
    </w:tbl>
    <w:p w14:paraId="21266E70" w14:textId="77777777" w:rsidR="00D218E8" w:rsidRDefault="00D218E8" w:rsidP="006713AA"/>
    <w:p w14:paraId="23FA7693" w14:textId="11C72D6D" w:rsidR="00F724E4" w:rsidRPr="00F724E4" w:rsidRDefault="00F724E4" w:rsidP="00147529">
      <w:pPr>
        <w:pStyle w:val="Heading2"/>
      </w:pPr>
      <w:r w:rsidRPr="00F724E4">
        <w:t>Apologies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724E4" w:rsidRPr="00755063" w14:paraId="6A15D182" w14:textId="77777777" w:rsidTr="005756C2">
        <w:tc>
          <w:tcPr>
            <w:tcW w:w="2972" w:type="dxa"/>
            <w:shd w:val="clear" w:color="auto" w:fill="auto"/>
          </w:tcPr>
          <w:p w14:paraId="44D93869" w14:textId="556E89A2" w:rsidR="00F724E4" w:rsidRPr="00755063" w:rsidRDefault="00D218E8" w:rsidP="00147529">
            <w:pPr>
              <w:rPr>
                <w:rFonts w:ascii="Arial" w:hAnsi="Arial"/>
                <w:sz w:val="20"/>
                <w:szCs w:val="20"/>
              </w:rPr>
            </w:pPr>
            <w:r>
              <w:t>Belle Whitely</w:t>
            </w:r>
          </w:p>
        </w:tc>
        <w:tc>
          <w:tcPr>
            <w:tcW w:w="6662" w:type="dxa"/>
          </w:tcPr>
          <w:p w14:paraId="5C55FE9E" w14:textId="156ABC04" w:rsidR="00F724E4" w:rsidRPr="00755063" w:rsidRDefault="00D218E8" w:rsidP="003A5106">
            <w:pPr>
              <w:pStyle w:val="BoxText"/>
            </w:pPr>
            <w:r>
              <w:t xml:space="preserve">Thomas </w:t>
            </w:r>
            <w:r w:rsidR="002254AC">
              <w:t>P</w:t>
            </w:r>
            <w:r>
              <w:t xml:space="preserve">ocklington </w:t>
            </w:r>
            <w:r w:rsidR="002254AC">
              <w:t>Trust</w:t>
            </w:r>
          </w:p>
        </w:tc>
      </w:tr>
      <w:tr w:rsidR="00F724E4" w:rsidRPr="00755063" w14:paraId="3236C15A" w14:textId="77777777" w:rsidTr="005756C2">
        <w:tc>
          <w:tcPr>
            <w:tcW w:w="2972" w:type="dxa"/>
            <w:shd w:val="clear" w:color="auto" w:fill="auto"/>
          </w:tcPr>
          <w:p w14:paraId="62134775" w14:textId="6527B021" w:rsidR="00F724E4" w:rsidRPr="00065408" w:rsidRDefault="00F724E4" w:rsidP="00147529">
            <w:r w:rsidRPr="00065408">
              <w:t xml:space="preserve">Mick </w:t>
            </w:r>
            <w:proofErr w:type="spellStart"/>
            <w:r w:rsidRPr="00065408">
              <w:t>Phythian</w:t>
            </w:r>
            <w:proofErr w:type="spellEnd"/>
          </w:p>
        </w:tc>
        <w:tc>
          <w:tcPr>
            <w:tcW w:w="6662" w:type="dxa"/>
          </w:tcPr>
          <w:p w14:paraId="18A94E8A" w14:textId="60533EE7" w:rsidR="00F724E4" w:rsidRPr="00065408" w:rsidRDefault="00F724E4" w:rsidP="003A5106">
            <w:pPr>
              <w:pStyle w:val="BoxText"/>
            </w:pPr>
            <w:r w:rsidRPr="00065408">
              <w:t>York Accessibility Action</w:t>
            </w:r>
          </w:p>
        </w:tc>
      </w:tr>
      <w:tr w:rsidR="00F724E4" w:rsidRPr="00755063" w14:paraId="63056C14" w14:textId="77777777" w:rsidTr="005756C2">
        <w:tc>
          <w:tcPr>
            <w:tcW w:w="2972" w:type="dxa"/>
            <w:shd w:val="clear" w:color="auto" w:fill="auto"/>
          </w:tcPr>
          <w:p w14:paraId="79A45C87" w14:textId="4F68513C" w:rsidR="00F724E4" w:rsidRPr="00065408" w:rsidRDefault="00F724E4" w:rsidP="00147529">
            <w:r w:rsidRPr="00065408">
              <w:t xml:space="preserve">Jane </w:t>
            </w:r>
            <w:proofErr w:type="spellStart"/>
            <w:r w:rsidRPr="00065408">
              <w:t>Phythian</w:t>
            </w:r>
            <w:proofErr w:type="spellEnd"/>
          </w:p>
        </w:tc>
        <w:tc>
          <w:tcPr>
            <w:tcW w:w="6662" w:type="dxa"/>
          </w:tcPr>
          <w:p w14:paraId="317EA825" w14:textId="1E01EBF3" w:rsidR="00F724E4" w:rsidRPr="00065408" w:rsidRDefault="00F724E4" w:rsidP="003A5106">
            <w:pPr>
              <w:pStyle w:val="BoxText"/>
            </w:pPr>
            <w:r w:rsidRPr="00065408">
              <w:t>York Accessibility Action</w:t>
            </w:r>
          </w:p>
        </w:tc>
      </w:tr>
    </w:tbl>
    <w:p w14:paraId="0B1C212F" w14:textId="78DCB40A" w:rsidR="005756C2" w:rsidRPr="005F20C1" w:rsidRDefault="005756C2" w:rsidP="00147529">
      <w:pPr>
        <w:pStyle w:val="Heading2"/>
      </w:pPr>
      <w:r w:rsidRPr="005756C2">
        <w:t>Minutes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634"/>
      </w:tblGrid>
      <w:tr w:rsidR="005756C2" w:rsidRPr="005756C2" w14:paraId="15E371F4" w14:textId="77777777" w:rsidTr="005756C2">
        <w:tc>
          <w:tcPr>
            <w:tcW w:w="3006" w:type="dxa"/>
            <w:shd w:val="clear" w:color="auto" w:fill="auto"/>
          </w:tcPr>
          <w:p w14:paraId="1FCF908A" w14:textId="1B41B456" w:rsidR="005756C2" w:rsidRPr="005756C2" w:rsidRDefault="005756C2" w:rsidP="00147529">
            <w:pPr>
              <w:rPr>
                <w:rFonts w:ascii="Arial" w:hAnsi="Arial"/>
                <w:sz w:val="20"/>
                <w:szCs w:val="20"/>
              </w:rPr>
            </w:pPr>
            <w:r>
              <w:t>Jan Tuson</w:t>
            </w:r>
            <w:r w:rsidR="006713AA">
              <w:t xml:space="preserve"> (JT)</w:t>
            </w:r>
          </w:p>
        </w:tc>
        <w:tc>
          <w:tcPr>
            <w:tcW w:w="6634" w:type="dxa"/>
            <w:shd w:val="clear" w:color="auto" w:fill="auto"/>
          </w:tcPr>
          <w:p w14:paraId="78E8CBE8" w14:textId="1DD4A55B" w:rsidR="005756C2" w:rsidRPr="005756C2" w:rsidRDefault="005756C2" w:rsidP="00147529">
            <w:pPr>
              <w:rPr>
                <w:rFonts w:ascii="Arial" w:hAnsi="Arial"/>
                <w:sz w:val="20"/>
                <w:szCs w:val="20"/>
              </w:rPr>
            </w:pPr>
            <w:r>
              <w:t>Support worker to Dave Smith</w:t>
            </w:r>
          </w:p>
        </w:tc>
      </w:tr>
    </w:tbl>
    <w:p w14:paraId="2E7AF97A" w14:textId="77777777" w:rsidR="00147529" w:rsidRDefault="00147529" w:rsidP="00147529"/>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147529" w:rsidRDefault="00974488" w:rsidP="00147529">
            <w:pPr>
              <w:pStyle w:val="Heading2"/>
            </w:pPr>
            <w:r>
              <w:t xml:space="preserve">  </w:t>
            </w:r>
            <w:r w:rsidR="005756C2" w:rsidRPr="00147529">
              <w:t>1</w:t>
            </w:r>
          </w:p>
        </w:tc>
        <w:tc>
          <w:tcPr>
            <w:tcW w:w="9213" w:type="dxa"/>
            <w:shd w:val="clear" w:color="auto" w:fill="auto"/>
          </w:tcPr>
          <w:p w14:paraId="65238D7A" w14:textId="77777777" w:rsidR="005756C2" w:rsidRPr="00147529" w:rsidRDefault="005756C2" w:rsidP="00147529">
            <w:pPr>
              <w:pStyle w:val="Heading2"/>
            </w:pPr>
            <w:r w:rsidRPr="00147529">
              <w:t>Welcome and 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47AF5628" w14:textId="6725632B" w:rsidR="005756C2" w:rsidRPr="005756C2" w:rsidRDefault="005756C2" w:rsidP="00147529">
            <w:r w:rsidRPr="00F3339A">
              <w:rPr>
                <w:b/>
                <w:bCs w:val="0"/>
              </w:rPr>
              <w:t>D</w:t>
            </w:r>
            <w:r w:rsidR="0064581F" w:rsidRPr="00F3339A">
              <w:rPr>
                <w:b/>
                <w:bCs w:val="0"/>
              </w:rPr>
              <w:t>S</w:t>
            </w:r>
            <w:r>
              <w:t xml:space="preserve"> welcomed all attendees (in person and online via Teams) to the meeting of the group</w:t>
            </w:r>
            <w:r w:rsidR="00A75FFF">
              <w:t xml:space="preserve"> and </w:t>
            </w:r>
            <w:r w:rsidR="002254AC">
              <w:t>everyone introduced themselves</w:t>
            </w:r>
            <w:r w:rsidR="00A75FFF">
              <w:t>.</w:t>
            </w:r>
          </w:p>
        </w:tc>
      </w:tr>
      <w:tr w:rsidR="005756C2" w:rsidRPr="005756C2" w14:paraId="195498FD" w14:textId="77777777" w:rsidTr="00974488">
        <w:tc>
          <w:tcPr>
            <w:tcW w:w="852" w:type="dxa"/>
            <w:shd w:val="clear" w:color="auto" w:fill="auto"/>
          </w:tcPr>
          <w:p w14:paraId="2522EA0B" w14:textId="324AA7C9" w:rsidR="005756C2" w:rsidRPr="005756C2" w:rsidRDefault="00974488" w:rsidP="00147529">
            <w:pPr>
              <w:pStyle w:val="Heading2"/>
            </w:pPr>
            <w:r>
              <w:t xml:space="preserve">  </w:t>
            </w:r>
            <w:r w:rsidR="005756C2" w:rsidRPr="005756C2">
              <w:t>2</w:t>
            </w:r>
          </w:p>
        </w:tc>
        <w:tc>
          <w:tcPr>
            <w:tcW w:w="9213" w:type="dxa"/>
            <w:shd w:val="clear" w:color="auto" w:fill="auto"/>
          </w:tcPr>
          <w:p w14:paraId="47797399" w14:textId="77777777" w:rsidR="005756C2" w:rsidRPr="005756C2" w:rsidRDefault="005756C2" w:rsidP="00147529">
            <w:pPr>
              <w:pStyle w:val="Heading2"/>
            </w:pPr>
            <w:r w:rsidRPr="005756C2">
              <w:t>Minutes from last meeting</w:t>
            </w:r>
          </w:p>
        </w:tc>
      </w:tr>
      <w:tr w:rsidR="005756C2" w:rsidRPr="005756C2" w14:paraId="1DC0A7E7" w14:textId="77777777" w:rsidTr="00974488">
        <w:tc>
          <w:tcPr>
            <w:tcW w:w="852" w:type="dxa"/>
            <w:shd w:val="clear" w:color="auto" w:fill="auto"/>
          </w:tcPr>
          <w:p w14:paraId="5D7DE4AB" w14:textId="77777777" w:rsidR="005756C2" w:rsidRPr="005756C2" w:rsidRDefault="005756C2" w:rsidP="00147529"/>
        </w:tc>
        <w:tc>
          <w:tcPr>
            <w:tcW w:w="9213" w:type="dxa"/>
            <w:shd w:val="clear" w:color="auto" w:fill="auto"/>
          </w:tcPr>
          <w:p w14:paraId="6E787A30" w14:textId="77777777" w:rsidR="002254AC" w:rsidRDefault="002254AC" w:rsidP="00147529">
            <w:r>
              <w:t>Minutes reviewed and agreed as correct apart from one omission:</w:t>
            </w:r>
          </w:p>
          <w:p w14:paraId="0AC010C9" w14:textId="77777777" w:rsidR="005756C2" w:rsidRDefault="002254AC" w:rsidP="00147529">
            <w:r>
              <w:t>Apologies received from Iain Mitchell (Thomas Pocklington Trust) but not recorded.</w:t>
            </w:r>
            <w:r w:rsidR="005756C2" w:rsidRPr="005756C2">
              <w:t xml:space="preserve"> </w:t>
            </w:r>
          </w:p>
          <w:p w14:paraId="2A8135C4" w14:textId="5568BF6D" w:rsidR="006713AA" w:rsidRPr="002D6775" w:rsidRDefault="002D6775" w:rsidP="00147529">
            <w:r w:rsidRPr="002D6775">
              <w:t>All actions completed apart from action 2 in item 8 –</w:t>
            </w:r>
            <w:r w:rsidR="008D602E">
              <w:t xml:space="preserve"> Claire Foale is finding out if the accessibility specification for the new platform can be shared with the group initially</w:t>
            </w:r>
            <w:r w:rsidR="008D602E" w:rsidRPr="008D602E">
              <w:t xml:space="preserve">. </w:t>
            </w:r>
            <w:r w:rsidRPr="008D602E">
              <w:t xml:space="preserve"> </w:t>
            </w:r>
          </w:p>
          <w:p w14:paraId="07A08106" w14:textId="77777777" w:rsidR="006713AA" w:rsidRDefault="006713AA" w:rsidP="00147529">
            <w:r w:rsidRPr="006713AA">
              <w:rPr>
                <w:b/>
                <w:bCs w:val="0"/>
              </w:rPr>
              <w:t>Matters arising from the minutes:</w:t>
            </w:r>
          </w:p>
          <w:p w14:paraId="08878681" w14:textId="7EBCDD45" w:rsidR="006713AA" w:rsidRDefault="006713AA" w:rsidP="006713AA">
            <w:pPr>
              <w:rPr>
                <w:color w:val="1F4E79" w:themeColor="accent5" w:themeShade="80"/>
              </w:rPr>
            </w:pPr>
            <w:r w:rsidRPr="006713AA">
              <w:rPr>
                <w:b/>
                <w:bCs w:val="0"/>
                <w:color w:val="1F4E79" w:themeColor="accent5" w:themeShade="80"/>
              </w:rPr>
              <w:t>Supplementary Planning Group</w:t>
            </w:r>
            <w:r w:rsidR="00140627">
              <w:rPr>
                <w:b/>
                <w:bCs w:val="0"/>
                <w:color w:val="1F4E79" w:themeColor="accent5" w:themeShade="80"/>
              </w:rPr>
              <w:t xml:space="preserve"> (SPG)</w:t>
            </w:r>
          </w:p>
          <w:p w14:paraId="597155AB" w14:textId="5056A09E" w:rsidR="006713AA" w:rsidRDefault="006713AA" w:rsidP="006713AA">
            <w:pPr>
              <w:pStyle w:val="ListParagraph"/>
              <w:numPr>
                <w:ilvl w:val="0"/>
                <w:numId w:val="20"/>
              </w:numPr>
            </w:pPr>
            <w:r>
              <w:t xml:space="preserve">FW </w:t>
            </w:r>
            <w:r w:rsidR="00140627">
              <w:t>raised</w:t>
            </w:r>
            <w:r w:rsidR="00AF77B1">
              <w:t xml:space="preserve"> points which were discussed </w:t>
            </w:r>
            <w:r w:rsidR="00140627">
              <w:t>under the existing agenda item</w:t>
            </w:r>
            <w:r w:rsidR="0064581F">
              <w:t xml:space="preserve"> 3</w:t>
            </w:r>
            <w:r w:rsidR="008D602E">
              <w:t xml:space="preserve"> below</w:t>
            </w:r>
            <w:r w:rsidR="00140627">
              <w:t>.</w:t>
            </w:r>
          </w:p>
          <w:p w14:paraId="25505AFF" w14:textId="4483A21E" w:rsidR="00140627" w:rsidRDefault="00140627" w:rsidP="00140627">
            <w:pPr>
              <w:rPr>
                <w:color w:val="1F4E79" w:themeColor="accent5" w:themeShade="80"/>
              </w:rPr>
            </w:pPr>
            <w:r w:rsidRPr="00140627">
              <w:rPr>
                <w:b/>
                <w:bCs w:val="0"/>
                <w:color w:val="1F4E79" w:themeColor="accent5" w:themeShade="80"/>
              </w:rPr>
              <w:t xml:space="preserve">Purpose of </w:t>
            </w:r>
            <w:r w:rsidR="00812563">
              <w:rPr>
                <w:b/>
                <w:bCs w:val="0"/>
                <w:color w:val="1F4E79" w:themeColor="accent5" w:themeShade="80"/>
              </w:rPr>
              <w:t>the access forum</w:t>
            </w:r>
          </w:p>
          <w:p w14:paraId="2824904D" w14:textId="265CBA0C" w:rsidR="00140627" w:rsidRPr="00140627" w:rsidRDefault="00140627" w:rsidP="00140627">
            <w:pPr>
              <w:pStyle w:val="ListParagraph"/>
              <w:numPr>
                <w:ilvl w:val="0"/>
                <w:numId w:val="20"/>
              </w:numPr>
            </w:pPr>
            <w:r>
              <w:t xml:space="preserve">FW sought clarification around the purpose of the group. </w:t>
            </w:r>
            <w:r w:rsidRPr="00F3339A">
              <w:rPr>
                <w:b/>
                <w:bCs w:val="0"/>
              </w:rPr>
              <w:t>DS</w:t>
            </w:r>
            <w:r>
              <w:t xml:space="preserve"> explained that the group would be a two-way channel for group members to raise issues with </w:t>
            </w:r>
            <w:r w:rsidRPr="00F3339A">
              <w:rPr>
                <w:b/>
                <w:bCs w:val="0"/>
              </w:rPr>
              <w:t>DS</w:t>
            </w:r>
            <w:r>
              <w:t xml:space="preserve"> and for </w:t>
            </w:r>
            <w:r w:rsidRPr="00F3339A">
              <w:rPr>
                <w:b/>
                <w:bCs w:val="0"/>
              </w:rPr>
              <w:t>DS</w:t>
            </w:r>
            <w:r>
              <w:t xml:space="preserve"> to bring items to the group for discussion and consideration.</w:t>
            </w:r>
            <w:r w:rsidR="002D6775">
              <w:t xml:space="preserve"> </w:t>
            </w:r>
            <w:r w:rsidR="00C52787">
              <w:t>Specifically, FW stated that following the last meeting, she and another attendee had raised the issue of the Blue Badge application process. DS stated that</w:t>
            </w:r>
            <w:r w:rsidR="008D602E">
              <w:t xml:space="preserve"> all members (including those unable to attend a meeting) may ask for any</w:t>
            </w:r>
            <w:r w:rsidR="00C52787">
              <w:t xml:space="preserve"> issues to be added to the agenda in advance of the next meeting. </w:t>
            </w:r>
          </w:p>
        </w:tc>
      </w:tr>
      <w:tr w:rsidR="005756C2" w:rsidRPr="005756C2" w14:paraId="5F756E6C" w14:textId="77777777" w:rsidTr="00974488">
        <w:tc>
          <w:tcPr>
            <w:tcW w:w="852" w:type="dxa"/>
            <w:shd w:val="clear" w:color="auto" w:fill="auto"/>
          </w:tcPr>
          <w:p w14:paraId="02F5F8CD" w14:textId="7513A308" w:rsidR="005756C2" w:rsidRPr="005756C2" w:rsidRDefault="00974488" w:rsidP="00147529">
            <w:pPr>
              <w:pStyle w:val="Heading2"/>
            </w:pPr>
            <w:r>
              <w:lastRenderedPageBreak/>
              <w:t xml:space="preserve">  </w:t>
            </w:r>
            <w:r w:rsidR="005756C2" w:rsidRPr="005756C2">
              <w:t>3</w:t>
            </w:r>
          </w:p>
        </w:tc>
        <w:tc>
          <w:tcPr>
            <w:tcW w:w="9213" w:type="dxa"/>
            <w:shd w:val="clear" w:color="auto" w:fill="auto"/>
          </w:tcPr>
          <w:p w14:paraId="31568692" w14:textId="349FCBF9" w:rsidR="005756C2" w:rsidRPr="005756C2" w:rsidRDefault="002254AC" w:rsidP="00147529">
            <w:pPr>
              <w:pStyle w:val="Heading2"/>
            </w:pPr>
            <w:r>
              <w:t>Presentation – Supplementary Planning Group</w:t>
            </w:r>
            <w:r w:rsidR="00AF77B1">
              <w:t xml:space="preserve"> (SPG)</w:t>
            </w:r>
          </w:p>
        </w:tc>
      </w:tr>
      <w:tr w:rsidR="005756C2" w:rsidRPr="005756C2" w14:paraId="2EA5647A" w14:textId="77777777" w:rsidTr="00974488">
        <w:tc>
          <w:tcPr>
            <w:tcW w:w="852" w:type="dxa"/>
            <w:shd w:val="clear" w:color="auto" w:fill="auto"/>
          </w:tcPr>
          <w:p w14:paraId="371A1ED8" w14:textId="77777777" w:rsidR="005756C2" w:rsidRPr="005756C2" w:rsidRDefault="005756C2" w:rsidP="00147529"/>
        </w:tc>
        <w:tc>
          <w:tcPr>
            <w:tcW w:w="9213" w:type="dxa"/>
            <w:shd w:val="clear" w:color="auto" w:fill="auto"/>
          </w:tcPr>
          <w:p w14:paraId="7F2A25F0" w14:textId="77777777" w:rsidR="00AF77B1" w:rsidRPr="00AF77B1" w:rsidRDefault="00AF77B1" w:rsidP="00AF77B1">
            <w:pPr>
              <w:rPr>
                <w:b/>
                <w:bCs w:val="0"/>
                <w:color w:val="1F4E79" w:themeColor="accent5" w:themeShade="80"/>
              </w:rPr>
            </w:pPr>
            <w:r w:rsidRPr="00AF77B1">
              <w:rPr>
                <w:b/>
                <w:bCs w:val="0"/>
                <w:color w:val="1F4E79" w:themeColor="accent5" w:themeShade="80"/>
              </w:rPr>
              <w:t>Purpose of the SPG</w:t>
            </w:r>
          </w:p>
          <w:p w14:paraId="12B0F856" w14:textId="415AA10A" w:rsidR="00AF77B1" w:rsidRDefault="00AF77B1" w:rsidP="00AF77B1">
            <w:pPr>
              <w:rPr>
                <w:rFonts w:cstheme="minorBidi"/>
                <w:bCs w:val="0"/>
              </w:rPr>
            </w:pPr>
            <w:r w:rsidRPr="00F3339A">
              <w:rPr>
                <w:b/>
                <w:bCs w:val="0"/>
              </w:rPr>
              <w:t>FW</w:t>
            </w:r>
            <w:r>
              <w:t xml:space="preserve"> explained that her understanding of the SPG is to draw up the supplementary planning document (SPD), as passed in the council meeting in October 2022.</w:t>
            </w:r>
          </w:p>
          <w:p w14:paraId="2A33B04B" w14:textId="207DB359" w:rsidR="00AF77B1" w:rsidRPr="00F3339A" w:rsidRDefault="00AF77B1" w:rsidP="00AF77B1">
            <w:pPr>
              <w:rPr>
                <w:rFonts w:cstheme="minorBidi"/>
                <w:bCs w:val="0"/>
              </w:rPr>
            </w:pPr>
            <w:r w:rsidRPr="00F3339A">
              <w:rPr>
                <w:b/>
                <w:bCs w:val="0"/>
              </w:rPr>
              <w:t>DS</w:t>
            </w:r>
            <w:r>
              <w:t xml:space="preserve"> – </w:t>
            </w:r>
            <w:r w:rsidR="0064581F">
              <w:t>proposed</w:t>
            </w:r>
            <w:r>
              <w:t xml:space="preserve"> that the aim of the group is to work on the SPD at the same time as reviewing planning applications and offering advice and guidance on how they may be improved from an accessibility perspective. The SPD can then be informed by this process and drawn up so it can be applied by the planning teams to new applications, reducing the reliance on the SPG in the future. </w:t>
            </w:r>
            <w:r w:rsidR="00B15CB6">
              <w:t>DS stated it was important that we continue to try to influence planning decisions at the outset to try and avoid or minimise the impact of decisions</w:t>
            </w:r>
            <w:r w:rsidR="0064581F">
              <w:t xml:space="preserve">, </w:t>
            </w:r>
            <w:proofErr w:type="gramStart"/>
            <w:r w:rsidR="0064581F">
              <w:t>in order</w:t>
            </w:r>
            <w:r w:rsidR="00B15CB6">
              <w:t xml:space="preserve"> to</w:t>
            </w:r>
            <w:proofErr w:type="gramEnd"/>
            <w:r w:rsidR="00B15CB6">
              <w:t xml:space="preserve"> get it right first time, and there is a commitment from </w:t>
            </w:r>
            <w:r w:rsidR="00B15CB6" w:rsidRPr="00F3339A">
              <w:rPr>
                <w:b/>
                <w:bCs w:val="0"/>
              </w:rPr>
              <w:t>GA</w:t>
            </w:r>
            <w:r w:rsidR="00B15CB6">
              <w:t xml:space="preserve"> on this. </w:t>
            </w:r>
          </w:p>
          <w:p w14:paraId="63282B09" w14:textId="0924A30D" w:rsidR="00AF77B1" w:rsidRDefault="00AF77B1" w:rsidP="00147529">
            <w:r w:rsidRPr="00F3339A">
              <w:rPr>
                <w:b/>
                <w:bCs w:val="0"/>
              </w:rPr>
              <w:t>FW</w:t>
            </w:r>
            <w:r>
              <w:t xml:space="preserve"> asked how having a planning document that is reviewed and commented on by members of the SPG differs to a group of people that may object to planning applications (as separate from the SPG).</w:t>
            </w:r>
          </w:p>
          <w:p w14:paraId="0D19722A" w14:textId="439914F7" w:rsidR="00AF77B1" w:rsidRDefault="00AF77B1" w:rsidP="00AF77B1">
            <w:pPr>
              <w:rPr>
                <w:rFonts w:cstheme="minorBidi"/>
                <w:bCs w:val="0"/>
              </w:rPr>
            </w:pPr>
            <w:r w:rsidRPr="00F3339A">
              <w:rPr>
                <w:b/>
                <w:bCs w:val="0"/>
              </w:rPr>
              <w:t>GA</w:t>
            </w:r>
            <w:r>
              <w:t xml:space="preserve"> stated that legally there is no difference between the two. </w:t>
            </w:r>
            <w:r w:rsidR="003F2CF3">
              <w:t>However, the SPG will be recognised by the council as having been set up specifically for the purpose of f</w:t>
            </w:r>
            <w:r>
              <w:t xml:space="preserve">eeding into applications and giving the planning team advice on accessibility issues. As such, the group would have its own part of the agenda as consultee to the committee. Consultees set out the parameters of what they are interested in and what they will comment on. </w:t>
            </w:r>
            <w:r w:rsidR="003F2CF3">
              <w:t>This will only be in relation to</w:t>
            </w:r>
            <w:r>
              <w:t xml:space="preserve"> buildings that the public has access to and planning applications in the public realm. </w:t>
            </w:r>
          </w:p>
          <w:p w14:paraId="6166974C" w14:textId="76387CF4" w:rsidR="00AF77B1" w:rsidRDefault="00AF77B1" w:rsidP="00AF77B1">
            <w:r>
              <w:t xml:space="preserve">Hostile vehicle barriers are not subject to planning permission as Highways have special powers to carry out those works. </w:t>
            </w:r>
          </w:p>
          <w:p w14:paraId="37C72723" w14:textId="11563154" w:rsidR="00AF77B1" w:rsidRDefault="00B15CB6" w:rsidP="00AF77B1">
            <w:r w:rsidRPr="00F3339A">
              <w:rPr>
                <w:b/>
                <w:bCs w:val="0"/>
              </w:rPr>
              <w:t>DS</w:t>
            </w:r>
            <w:r>
              <w:t xml:space="preserve"> confirmed that individuals may also </w:t>
            </w:r>
            <w:proofErr w:type="gramStart"/>
            <w:r>
              <w:t>still continue</w:t>
            </w:r>
            <w:proofErr w:type="gramEnd"/>
            <w:r>
              <w:t xml:space="preserve"> to comment on applications as they have done in the past. </w:t>
            </w:r>
          </w:p>
          <w:p w14:paraId="67B1DC4F" w14:textId="74E51813" w:rsidR="003F2CF3" w:rsidRPr="003F2CF3" w:rsidRDefault="003F2CF3" w:rsidP="00AF77B1">
            <w:pPr>
              <w:rPr>
                <w:b/>
                <w:bCs w:val="0"/>
                <w:color w:val="1F4E79" w:themeColor="accent5" w:themeShade="80"/>
              </w:rPr>
            </w:pPr>
            <w:r w:rsidRPr="003F2CF3">
              <w:rPr>
                <w:b/>
                <w:bCs w:val="0"/>
                <w:color w:val="1F4E79" w:themeColor="accent5" w:themeShade="80"/>
              </w:rPr>
              <w:t>The process</w:t>
            </w:r>
          </w:p>
          <w:p w14:paraId="756A8D24" w14:textId="77777777" w:rsidR="003F2CF3" w:rsidRDefault="00AF77B1" w:rsidP="00AF77B1">
            <w:r>
              <w:t>Need to identify the planning applications the SPG are interested in</w:t>
            </w:r>
            <w:r w:rsidR="003F2CF3">
              <w:t>.</w:t>
            </w:r>
          </w:p>
          <w:p w14:paraId="11C43D17" w14:textId="77777777" w:rsidR="00E1070C" w:rsidRDefault="00E1070C" w:rsidP="00AF77B1"/>
          <w:p w14:paraId="2CE45035" w14:textId="77777777" w:rsidR="00E1070C" w:rsidRDefault="00E1070C" w:rsidP="00AF77B1"/>
          <w:p w14:paraId="3A49791C" w14:textId="2C334E23" w:rsidR="003F2CF3" w:rsidRDefault="003F2CF3" w:rsidP="00AF77B1">
            <w:r>
              <w:lastRenderedPageBreak/>
              <w:t>Options proposed by GA</w:t>
            </w:r>
            <w:r w:rsidR="00CA5C63">
              <w:t xml:space="preserve"> to manage this</w:t>
            </w:r>
            <w:r>
              <w:t>:</w:t>
            </w:r>
          </w:p>
          <w:p w14:paraId="53AA74CD" w14:textId="7F85D8E6" w:rsidR="003F2CF3" w:rsidRDefault="003F2CF3" w:rsidP="003F2CF3">
            <w:pPr>
              <w:pStyle w:val="ListParagraph"/>
              <w:numPr>
                <w:ilvl w:val="0"/>
                <w:numId w:val="21"/>
              </w:numPr>
            </w:pPr>
            <w:r>
              <w:t>The planning officer determines (based on a list of criteria set by the SPG) whether a planning application comes within the remit of the SPG; or</w:t>
            </w:r>
          </w:p>
          <w:p w14:paraId="5AAFD6BA" w14:textId="0D00994E" w:rsidR="003F2CF3" w:rsidRDefault="003F2CF3" w:rsidP="003F2CF3">
            <w:pPr>
              <w:pStyle w:val="ListParagraph"/>
              <w:numPr>
                <w:ilvl w:val="0"/>
                <w:numId w:val="21"/>
              </w:numPr>
            </w:pPr>
            <w:r>
              <w:t>The SPG chooses from the weekly list of applications which they want to contribute to.</w:t>
            </w:r>
          </w:p>
          <w:p w14:paraId="40454AAF" w14:textId="70F1A7B8" w:rsidR="003F2CF3" w:rsidRDefault="003F2CF3" w:rsidP="00AF77B1">
            <w:r>
              <w:t xml:space="preserve">For </w:t>
            </w:r>
            <w:r w:rsidR="0064581F">
              <w:t>the SPG</w:t>
            </w:r>
            <w:r>
              <w:t>, it would be preferable to have face-to-face/Teams/hybrid meetings to review the applications of interest and provide comments for consideration.</w:t>
            </w:r>
          </w:p>
          <w:p w14:paraId="771113A0" w14:textId="78EEA4F5" w:rsidR="00B15CB6" w:rsidRDefault="00B15CB6" w:rsidP="00AF77B1">
            <w:r w:rsidRPr="00F3339A">
              <w:rPr>
                <w:b/>
                <w:bCs w:val="0"/>
              </w:rPr>
              <w:t>DS</w:t>
            </w:r>
            <w:r>
              <w:t xml:space="preserve"> felt it important that the SPG has direct engagement with the relevant planning officer on whatever plans are chosen.</w:t>
            </w:r>
          </w:p>
          <w:p w14:paraId="180030ED" w14:textId="7FB28034" w:rsidR="00B15CB6" w:rsidRDefault="00B15CB6" w:rsidP="00AF77B1">
            <w:r>
              <w:t>Time commitment for the SPG – This will depend on how many applications the group wants to look at, the size of the group and how the group chooses to manage this from a resource perspective.</w:t>
            </w:r>
          </w:p>
          <w:p w14:paraId="7DED5667" w14:textId="786D9FC2" w:rsidR="00603E90" w:rsidRDefault="00603E90" w:rsidP="00AF77B1">
            <w:r>
              <w:t xml:space="preserve">Due to the potentially huge time commitment and the fact that other organisations (e.g. the YDRF) already submit comments on applications, it would be preferable to prioritise creating the SPD (see below). The group agreed this was a priority. </w:t>
            </w:r>
          </w:p>
          <w:p w14:paraId="73687FF8" w14:textId="00B2F08E" w:rsidR="00B15CB6" w:rsidRDefault="00B15CB6" w:rsidP="00AF77B1">
            <w:r w:rsidRPr="00F3339A">
              <w:rPr>
                <w:b/>
                <w:bCs w:val="0"/>
              </w:rPr>
              <w:t>AN</w:t>
            </w:r>
            <w:r>
              <w:t xml:space="preserve"> asked what commitment the council will give that the SPG will be listened to. </w:t>
            </w:r>
          </w:p>
          <w:p w14:paraId="41D225C5" w14:textId="2007CBBD" w:rsidR="00CA5C63" w:rsidRDefault="00CA5C63" w:rsidP="00CA5C63">
            <w:pPr>
              <w:rPr>
                <w:rFonts w:cstheme="minorBidi"/>
                <w:bCs w:val="0"/>
              </w:rPr>
            </w:pPr>
            <w:r w:rsidRPr="00F3339A">
              <w:rPr>
                <w:b/>
                <w:bCs w:val="0"/>
              </w:rPr>
              <w:t>GA</w:t>
            </w:r>
            <w:r>
              <w:t xml:space="preserve"> explained that the council has a statutory obligation to </w:t>
            </w:r>
            <w:proofErr w:type="gramStart"/>
            <w:r>
              <w:t>take into account</w:t>
            </w:r>
            <w:proofErr w:type="gramEnd"/>
            <w:r>
              <w:t xml:space="preserve"> comments raised on planning applications. Where a relevant policy exists, this carries more weight, as the law says that a decision must be made in accordance with that policy.</w:t>
            </w:r>
          </w:p>
          <w:p w14:paraId="702E6823" w14:textId="645EB8AF" w:rsidR="00B15CB6" w:rsidRDefault="00CA5C63" w:rsidP="00AF77B1">
            <w:r w:rsidRPr="00F3339A">
              <w:rPr>
                <w:b/>
                <w:bCs w:val="0"/>
              </w:rPr>
              <w:t>SB</w:t>
            </w:r>
            <w:r>
              <w:t xml:space="preserve"> suggested that part of the way forward may be to remind the council of its commitment to adopt the social model of disability. Suggested the YAF may wish to ask the council to confirm its commitment through their pledge and ask for this to be added into the planning policy for the city. </w:t>
            </w:r>
            <w:r w:rsidR="009617BC">
              <w:t xml:space="preserve">This would ensure it is built into the council’s planning systems and processes. </w:t>
            </w:r>
            <w:r>
              <w:t>This may offer a means of ensuring a commitment to, for example, accessible housing</w:t>
            </w:r>
            <w:r w:rsidR="009617BC">
              <w:t xml:space="preserve"> (where none currently exists)</w:t>
            </w:r>
            <w:r>
              <w:t xml:space="preserve">. </w:t>
            </w:r>
            <w:r w:rsidR="009617BC">
              <w:t xml:space="preserve">There would need to be agreed minimum standards of accessibility that are </w:t>
            </w:r>
            <w:r>
              <w:t>guarantee</w:t>
            </w:r>
            <w:r w:rsidR="009617BC">
              <w:t>d to be in place.</w:t>
            </w:r>
          </w:p>
          <w:p w14:paraId="3476646B" w14:textId="555A22ED" w:rsidR="009617BC" w:rsidRDefault="009617BC" w:rsidP="00AF77B1">
            <w:r w:rsidRPr="00F3339A">
              <w:rPr>
                <w:b/>
                <w:bCs w:val="0"/>
              </w:rPr>
              <w:t>DS</w:t>
            </w:r>
            <w:r>
              <w:t xml:space="preserve"> stated that it should be a goal of the YAF generally (including the SPG) to encourage the council to create new policies by bringing areas of concern and suggestions of how such policies can be developed that will prevent issues arising that impact on disabled people.</w:t>
            </w:r>
          </w:p>
          <w:p w14:paraId="0240E7DD" w14:textId="17143E72" w:rsidR="007C7C79" w:rsidRPr="007C7C79" w:rsidRDefault="007C7C79" w:rsidP="00F3339A">
            <w:pPr>
              <w:rPr>
                <w:rFonts w:eastAsiaTheme="minorHAnsi"/>
              </w:rPr>
            </w:pPr>
            <w:r w:rsidRPr="00F3339A">
              <w:rPr>
                <w:rFonts w:eastAsiaTheme="minorHAnsi"/>
                <w:b/>
                <w:bCs w:val="0"/>
              </w:rPr>
              <w:lastRenderedPageBreak/>
              <w:t xml:space="preserve">LT </w:t>
            </w:r>
            <w:r w:rsidRPr="007C7C79">
              <w:rPr>
                <w:rFonts w:eastAsiaTheme="minorHAnsi"/>
              </w:rPr>
              <w:t>- asked that consideration is given to how accessible the planning process is i.e</w:t>
            </w:r>
            <w:r w:rsidR="0065307E">
              <w:rPr>
                <w:rFonts w:eastAsiaTheme="minorHAnsi"/>
              </w:rPr>
              <w:t>.</w:t>
            </w:r>
            <w:r w:rsidRPr="007C7C79">
              <w:rPr>
                <w:rFonts w:eastAsiaTheme="minorHAnsi"/>
              </w:rPr>
              <w:t xml:space="preserve"> can someone read it, use the internet to get on it, is it in their preferred language or method, and the same for how comments are gathered. By removing the barriers of people being able to make comment it may gather momentum from a broader demographic whose voices may not have been heard before. If creating new policies</w:t>
            </w:r>
            <w:r w:rsidR="0065307E">
              <w:rPr>
                <w:rFonts w:eastAsiaTheme="minorHAnsi"/>
              </w:rPr>
              <w:t>,</w:t>
            </w:r>
            <w:r w:rsidRPr="007C7C79">
              <w:rPr>
                <w:rFonts w:eastAsiaTheme="minorHAnsi"/>
              </w:rPr>
              <w:t xml:space="preserve"> then ensuring the process is accessible for all initially is a proactive approach. </w:t>
            </w:r>
          </w:p>
          <w:p w14:paraId="1C440B78" w14:textId="5AEA9C77" w:rsidR="00603E90" w:rsidRPr="00603E90" w:rsidRDefault="00603E90" w:rsidP="00AF77B1">
            <w:pPr>
              <w:rPr>
                <w:b/>
                <w:bCs w:val="0"/>
                <w:color w:val="1F4E79" w:themeColor="accent5" w:themeShade="80"/>
              </w:rPr>
            </w:pPr>
            <w:r w:rsidRPr="00603E90">
              <w:rPr>
                <w:b/>
                <w:bCs w:val="0"/>
                <w:color w:val="1F4E79" w:themeColor="accent5" w:themeShade="80"/>
              </w:rPr>
              <w:t>The Supplementary Planning Document (SPD)</w:t>
            </w:r>
          </w:p>
          <w:p w14:paraId="3F33DD30" w14:textId="77777777" w:rsidR="00603E90" w:rsidRDefault="00603E90" w:rsidP="00AF77B1">
            <w:r>
              <w:t>The group asked what status the SPD will have. Will officers be obliged to ensure it is followed in all applications?</w:t>
            </w:r>
          </w:p>
          <w:p w14:paraId="530DAF4D" w14:textId="51470B8B" w:rsidR="00EF1264" w:rsidRPr="00EF1264" w:rsidRDefault="00603E90" w:rsidP="00EF1264">
            <w:pPr>
              <w:rPr>
                <w:rFonts w:eastAsiaTheme="minorHAnsi" w:cstheme="minorBidi"/>
                <w:bCs w:val="0"/>
              </w:rPr>
            </w:pPr>
            <w:r w:rsidRPr="00F3339A">
              <w:rPr>
                <w:b/>
                <w:bCs w:val="0"/>
              </w:rPr>
              <w:t>GA</w:t>
            </w:r>
            <w:r>
              <w:t xml:space="preserve"> confirmed it depends where it fits in the suite of development planning documents the council has. If an SPD is prepared that is outside the local plan with no local planning policy to attach it to, it will carry less weight, but will still be </w:t>
            </w:r>
            <w:proofErr w:type="gramStart"/>
            <w:r>
              <w:t>taken into account</w:t>
            </w:r>
            <w:proofErr w:type="gramEnd"/>
            <w:r>
              <w:t>.</w:t>
            </w:r>
            <w:r w:rsidR="00EF1264">
              <w:t xml:space="preserve"> </w:t>
            </w:r>
            <w:r w:rsidR="00EF1264" w:rsidRPr="00EF1264">
              <w:rPr>
                <w:rFonts w:eastAsiaTheme="minorHAnsi" w:cstheme="minorBidi"/>
                <w:bCs w:val="0"/>
              </w:rPr>
              <w:t xml:space="preserve">GA made a distinction between the ‘legal’ strength of a SP document and the </w:t>
            </w:r>
            <w:r w:rsidR="00EF1264">
              <w:rPr>
                <w:rFonts w:eastAsiaTheme="minorHAnsi" w:cstheme="minorBidi"/>
                <w:bCs w:val="0"/>
              </w:rPr>
              <w:t>‘</w:t>
            </w:r>
            <w:r w:rsidR="00EF1264" w:rsidRPr="00EF1264">
              <w:rPr>
                <w:rFonts w:eastAsiaTheme="minorHAnsi" w:cstheme="minorBidi"/>
                <w:bCs w:val="0"/>
              </w:rPr>
              <w:t>actual</w:t>
            </w:r>
            <w:r w:rsidR="00EF1264">
              <w:rPr>
                <w:rFonts w:eastAsiaTheme="minorHAnsi" w:cstheme="minorBidi"/>
                <w:bCs w:val="0"/>
              </w:rPr>
              <w:t>’</w:t>
            </w:r>
            <w:r w:rsidR="00EF1264" w:rsidRPr="00EF1264">
              <w:rPr>
                <w:rFonts w:eastAsiaTheme="minorHAnsi" w:cstheme="minorBidi"/>
                <w:bCs w:val="0"/>
              </w:rPr>
              <w:t xml:space="preserve"> strength. A</w:t>
            </w:r>
            <w:r w:rsidR="00EF1264">
              <w:rPr>
                <w:rFonts w:eastAsiaTheme="minorHAnsi" w:cstheme="minorBidi"/>
                <w:bCs w:val="0"/>
              </w:rPr>
              <w:t>n</w:t>
            </w:r>
            <w:r w:rsidR="00EF1264" w:rsidRPr="00EF1264">
              <w:rPr>
                <w:rFonts w:eastAsiaTheme="minorHAnsi" w:cstheme="minorBidi"/>
                <w:bCs w:val="0"/>
              </w:rPr>
              <w:t xml:space="preserve"> SPD not linked to a planning policy can only ever be a </w:t>
            </w:r>
            <w:r w:rsidR="00EF1264">
              <w:rPr>
                <w:rFonts w:eastAsiaTheme="minorHAnsi" w:cstheme="minorBidi"/>
                <w:bCs w:val="0"/>
              </w:rPr>
              <w:t>‘</w:t>
            </w:r>
            <w:r w:rsidR="00EF1264" w:rsidRPr="00EF1264">
              <w:rPr>
                <w:rFonts w:eastAsiaTheme="minorHAnsi" w:cstheme="minorBidi"/>
                <w:bCs w:val="0"/>
              </w:rPr>
              <w:t>draft</w:t>
            </w:r>
            <w:r w:rsidR="00EF1264">
              <w:rPr>
                <w:rFonts w:eastAsiaTheme="minorHAnsi" w:cstheme="minorBidi"/>
                <w:bCs w:val="0"/>
              </w:rPr>
              <w:t>’</w:t>
            </w:r>
            <w:r w:rsidR="00EF1264" w:rsidRPr="00EF1264">
              <w:rPr>
                <w:rFonts w:eastAsiaTheme="minorHAnsi" w:cstheme="minorBidi"/>
                <w:bCs w:val="0"/>
              </w:rPr>
              <w:t xml:space="preserve">. However, where it includes well-made criteria, the </w:t>
            </w:r>
            <w:r w:rsidR="00EF1264">
              <w:rPr>
                <w:rFonts w:eastAsiaTheme="minorHAnsi" w:cstheme="minorBidi"/>
                <w:bCs w:val="0"/>
              </w:rPr>
              <w:t>council</w:t>
            </w:r>
            <w:r w:rsidR="00EF1264" w:rsidRPr="00EF1264">
              <w:rPr>
                <w:rFonts w:eastAsiaTheme="minorHAnsi" w:cstheme="minorBidi"/>
                <w:bCs w:val="0"/>
              </w:rPr>
              <w:t xml:space="preserve"> will still give it more weight. So even though a draft, officers will get used to using it and it can become a ‘go to’ document for consideration.</w:t>
            </w:r>
          </w:p>
          <w:p w14:paraId="73029F65" w14:textId="0840432C" w:rsidR="00012E8F" w:rsidRDefault="00603E90" w:rsidP="00603E90">
            <w:r w:rsidRPr="00F3339A">
              <w:rPr>
                <w:b/>
                <w:bCs w:val="0"/>
              </w:rPr>
              <w:t>FW</w:t>
            </w:r>
            <w:r>
              <w:t xml:space="preserve"> </w:t>
            </w:r>
            <w:r w:rsidR="00012E8F">
              <w:t xml:space="preserve">proposed the </w:t>
            </w:r>
            <w:r>
              <w:t xml:space="preserve">need to produce supplementary planning guidance that every new developer </w:t>
            </w:r>
            <w:r w:rsidR="00012E8F">
              <w:t>must</w:t>
            </w:r>
            <w:r>
              <w:t xml:space="preserve"> comply with (as has been adopted in the City of London). </w:t>
            </w:r>
          </w:p>
          <w:p w14:paraId="00FA30E4" w14:textId="181218C8" w:rsidR="00EF1264" w:rsidRDefault="00EF1264" w:rsidP="00812563">
            <w:r w:rsidRPr="00F3339A">
              <w:rPr>
                <w:b/>
                <w:bCs w:val="0"/>
              </w:rPr>
              <w:t>SF</w:t>
            </w:r>
            <w:r>
              <w:t xml:space="preserve"> stressed the importance of accessibility in plans being considered from the outset and gave </w:t>
            </w:r>
            <w:r w:rsidR="0064581F">
              <w:t xml:space="preserve">changes to </w:t>
            </w:r>
            <w:r>
              <w:t xml:space="preserve">the Wheelchair Centre as an example of where this has not happened. </w:t>
            </w:r>
          </w:p>
          <w:p w14:paraId="13F91082" w14:textId="77777777" w:rsidR="007C7C79" w:rsidRDefault="00012E8F" w:rsidP="00812563">
            <w:pPr>
              <w:rPr>
                <w:rFonts w:eastAsiaTheme="minorHAnsi" w:cstheme="minorBidi"/>
                <w:bCs w:val="0"/>
              </w:rPr>
            </w:pPr>
            <w:r w:rsidRPr="00F3339A">
              <w:rPr>
                <w:b/>
                <w:bCs w:val="0"/>
              </w:rPr>
              <w:t>DS</w:t>
            </w:r>
            <w:r w:rsidRPr="00812563">
              <w:t xml:space="preserve"> confirmed</w:t>
            </w:r>
            <w:r w:rsidR="00812563">
              <w:t xml:space="preserve"> </w:t>
            </w:r>
            <w:r w:rsidR="00812563" w:rsidRPr="00812563">
              <w:rPr>
                <w:rFonts w:eastAsiaTheme="minorHAnsi" w:cstheme="minorBidi"/>
                <w:bCs w:val="0"/>
              </w:rPr>
              <w:t xml:space="preserve">that the document will be for planning to consider at the outset when setting up the scope of a project. </w:t>
            </w:r>
          </w:p>
          <w:p w14:paraId="2F5495D1" w14:textId="5DC2C47E" w:rsidR="007C7C79" w:rsidRDefault="007C7C79" w:rsidP="00812563">
            <w:pPr>
              <w:rPr>
                <w:rFonts w:eastAsiaTheme="minorHAnsi" w:cstheme="minorBidi"/>
                <w:bCs w:val="0"/>
              </w:rPr>
            </w:pPr>
            <w:r w:rsidRPr="00F3339A">
              <w:rPr>
                <w:rFonts w:eastAsiaTheme="minorHAnsi" w:cstheme="minorBidi"/>
                <w:b/>
              </w:rPr>
              <w:t>RB</w:t>
            </w:r>
            <w:r>
              <w:rPr>
                <w:rFonts w:eastAsiaTheme="minorHAnsi" w:cstheme="minorBidi"/>
                <w:bCs w:val="0"/>
              </w:rPr>
              <w:t xml:space="preserve"> highlighted the strong economic argument for inclusive design from the outset, so projects are ‘right first time’ in terms of accessibility. </w:t>
            </w:r>
          </w:p>
          <w:p w14:paraId="4E7BA2CD" w14:textId="094D80D5" w:rsidR="007C7C79" w:rsidRPr="007C7C79" w:rsidRDefault="00EF1264" w:rsidP="007C7C79">
            <w:pPr>
              <w:rPr>
                <w:rFonts w:eastAsiaTheme="minorHAnsi" w:cstheme="minorBidi"/>
                <w:bCs w:val="0"/>
              </w:rPr>
            </w:pPr>
            <w:r w:rsidRPr="00F3339A">
              <w:rPr>
                <w:rFonts w:eastAsiaTheme="minorHAnsi" w:cstheme="minorBidi"/>
                <w:b/>
              </w:rPr>
              <w:t>RB</w:t>
            </w:r>
            <w:r>
              <w:rPr>
                <w:rFonts w:eastAsiaTheme="minorHAnsi" w:cstheme="minorBidi"/>
                <w:bCs w:val="0"/>
              </w:rPr>
              <w:t xml:space="preserve"> suggested</w:t>
            </w:r>
            <w:r w:rsidR="007C7C79">
              <w:rPr>
                <w:rFonts w:eastAsiaTheme="minorHAnsi" w:cstheme="minorBidi"/>
                <w:bCs w:val="0"/>
              </w:rPr>
              <w:t xml:space="preserve"> </w:t>
            </w:r>
            <w:r w:rsidR="007C7C79" w:rsidRPr="007C7C79">
              <w:rPr>
                <w:rFonts w:eastAsiaTheme="minorHAnsi" w:cstheme="minorBidi"/>
                <w:bCs w:val="0"/>
              </w:rPr>
              <w:t xml:space="preserve">that, as a starting point, the SPG could pull together </w:t>
            </w:r>
            <w:r w:rsidR="007C7C79">
              <w:rPr>
                <w:rFonts w:eastAsiaTheme="minorHAnsi" w:cstheme="minorBidi"/>
                <w:bCs w:val="0"/>
              </w:rPr>
              <w:t xml:space="preserve">a </w:t>
            </w:r>
            <w:r w:rsidR="007C7C79" w:rsidRPr="007C7C79">
              <w:rPr>
                <w:rFonts w:eastAsiaTheme="minorHAnsi" w:cstheme="minorBidi"/>
                <w:bCs w:val="0"/>
              </w:rPr>
              <w:t xml:space="preserve">checklist of things the council needs to </w:t>
            </w:r>
            <w:r w:rsidR="007C7C79">
              <w:rPr>
                <w:rFonts w:eastAsiaTheme="minorHAnsi" w:cstheme="minorBidi"/>
                <w:bCs w:val="0"/>
              </w:rPr>
              <w:t xml:space="preserve">consider </w:t>
            </w:r>
            <w:r w:rsidR="007C7C79" w:rsidRPr="007C7C79">
              <w:rPr>
                <w:rFonts w:eastAsiaTheme="minorHAnsi" w:cstheme="minorBidi"/>
                <w:bCs w:val="0"/>
              </w:rPr>
              <w:t xml:space="preserve">for every planning application. </w:t>
            </w:r>
          </w:p>
          <w:p w14:paraId="5563A6EB" w14:textId="2E41A891" w:rsidR="007C7C79" w:rsidRDefault="007C7C79" w:rsidP="00812563">
            <w:pPr>
              <w:rPr>
                <w:rFonts w:eastAsiaTheme="minorHAnsi" w:cstheme="minorBidi"/>
                <w:bCs w:val="0"/>
              </w:rPr>
            </w:pPr>
            <w:r w:rsidRPr="00F3339A">
              <w:rPr>
                <w:rFonts w:eastAsiaTheme="minorHAnsi" w:cstheme="minorBidi"/>
                <w:b/>
              </w:rPr>
              <w:t>SF</w:t>
            </w:r>
            <w:r>
              <w:rPr>
                <w:rFonts w:eastAsiaTheme="minorHAnsi" w:cstheme="minorBidi"/>
                <w:bCs w:val="0"/>
              </w:rPr>
              <w:t xml:space="preserve"> proposed that the document be drawn up in collaboration with the planning team.</w:t>
            </w:r>
          </w:p>
          <w:p w14:paraId="4B8C4357" w14:textId="27EC9AF1" w:rsidR="00E3473A" w:rsidRPr="007C7C79" w:rsidRDefault="007C7C79" w:rsidP="00812563">
            <w:pPr>
              <w:rPr>
                <w:b/>
                <w:bCs w:val="0"/>
                <w:color w:val="1F4E79" w:themeColor="accent5" w:themeShade="80"/>
              </w:rPr>
            </w:pPr>
            <w:r w:rsidRPr="007C7C79">
              <w:rPr>
                <w:b/>
                <w:bCs w:val="0"/>
                <w:color w:val="1F4E79" w:themeColor="accent5" w:themeShade="80"/>
              </w:rPr>
              <w:lastRenderedPageBreak/>
              <w:t>Monitoring of consideration of the SPD</w:t>
            </w:r>
            <w:r>
              <w:rPr>
                <w:b/>
                <w:bCs w:val="0"/>
                <w:color w:val="1F4E79" w:themeColor="accent5" w:themeShade="80"/>
              </w:rPr>
              <w:t xml:space="preserve"> by planning officers</w:t>
            </w:r>
          </w:p>
          <w:p w14:paraId="18889F88" w14:textId="77777777" w:rsidR="007C7C79" w:rsidRDefault="007C7C79" w:rsidP="007C7C79">
            <w:pPr>
              <w:rPr>
                <w:rFonts w:eastAsiaTheme="minorHAnsi" w:cstheme="minorBidi"/>
                <w:bCs w:val="0"/>
              </w:rPr>
            </w:pPr>
            <w:r w:rsidRPr="00F3339A">
              <w:rPr>
                <w:rFonts w:eastAsiaTheme="minorHAnsi" w:cstheme="minorBidi"/>
                <w:b/>
              </w:rPr>
              <w:t>DS</w:t>
            </w:r>
            <w:r>
              <w:rPr>
                <w:rFonts w:eastAsiaTheme="minorHAnsi" w:cstheme="minorBidi"/>
                <w:bCs w:val="0"/>
              </w:rPr>
              <w:t xml:space="preserve"> s</w:t>
            </w:r>
            <w:r w:rsidRPr="00812563">
              <w:rPr>
                <w:rFonts w:eastAsiaTheme="minorHAnsi" w:cstheme="minorBidi"/>
                <w:bCs w:val="0"/>
              </w:rPr>
              <w:t>uggested the SPG could carry out dip checks to ensure compliance or that the SPG feed</w:t>
            </w:r>
            <w:r>
              <w:rPr>
                <w:rFonts w:eastAsiaTheme="minorHAnsi" w:cstheme="minorBidi"/>
                <w:bCs w:val="0"/>
              </w:rPr>
              <w:t>s</w:t>
            </w:r>
            <w:r w:rsidRPr="00812563">
              <w:rPr>
                <w:rFonts w:eastAsiaTheme="minorHAnsi" w:cstheme="minorBidi"/>
                <w:bCs w:val="0"/>
              </w:rPr>
              <w:t xml:space="preserve"> back collectively on whether the SP document is acceptable.</w:t>
            </w:r>
          </w:p>
          <w:p w14:paraId="126B69D9" w14:textId="09FEDA0A" w:rsidR="00603E90" w:rsidRPr="00603E90" w:rsidRDefault="00603E90" w:rsidP="00AF77B1">
            <w:pPr>
              <w:rPr>
                <w:b/>
                <w:bCs w:val="0"/>
                <w:color w:val="1F4E79" w:themeColor="accent5" w:themeShade="80"/>
              </w:rPr>
            </w:pPr>
            <w:r w:rsidRPr="00603E90">
              <w:rPr>
                <w:b/>
                <w:bCs w:val="0"/>
                <w:color w:val="1F4E79" w:themeColor="accent5" w:themeShade="80"/>
              </w:rPr>
              <w:t xml:space="preserve">Training for </w:t>
            </w:r>
            <w:r w:rsidR="000F0D78">
              <w:rPr>
                <w:b/>
                <w:bCs w:val="0"/>
                <w:color w:val="1F4E79" w:themeColor="accent5" w:themeShade="80"/>
              </w:rPr>
              <w:t xml:space="preserve">the SPG </w:t>
            </w:r>
          </w:p>
          <w:p w14:paraId="320A4702" w14:textId="1CAC0A0A" w:rsidR="000F0D78" w:rsidRDefault="000F0D78" w:rsidP="00AF77B1">
            <w:r>
              <w:t>If any members of the SPG wish to still comment on behalf of the group on new planning applications, there may be a training need in terms of how to read plans that can be addressed by the planning team.</w:t>
            </w:r>
          </w:p>
          <w:p w14:paraId="4A0A215E" w14:textId="531948E3" w:rsidR="000F0D78" w:rsidRPr="00603E90" w:rsidRDefault="000F0D78" w:rsidP="000F0D78">
            <w:pPr>
              <w:rPr>
                <w:b/>
                <w:bCs w:val="0"/>
                <w:color w:val="1F4E79" w:themeColor="accent5" w:themeShade="80"/>
              </w:rPr>
            </w:pPr>
            <w:r>
              <w:rPr>
                <w:b/>
                <w:bCs w:val="0"/>
                <w:color w:val="1F4E79" w:themeColor="accent5" w:themeShade="80"/>
              </w:rPr>
              <w:t>Accessibility t</w:t>
            </w:r>
            <w:r w:rsidRPr="00603E90">
              <w:rPr>
                <w:b/>
                <w:bCs w:val="0"/>
                <w:color w:val="1F4E79" w:themeColor="accent5" w:themeShade="80"/>
              </w:rPr>
              <w:t xml:space="preserve">raining for </w:t>
            </w:r>
            <w:r>
              <w:rPr>
                <w:b/>
                <w:bCs w:val="0"/>
                <w:color w:val="1F4E79" w:themeColor="accent5" w:themeShade="80"/>
              </w:rPr>
              <w:t xml:space="preserve">the </w:t>
            </w:r>
            <w:r w:rsidRPr="00603E90">
              <w:rPr>
                <w:b/>
                <w:bCs w:val="0"/>
                <w:color w:val="1F4E79" w:themeColor="accent5" w:themeShade="80"/>
              </w:rPr>
              <w:t>planning officers</w:t>
            </w:r>
          </w:p>
          <w:p w14:paraId="39219AD8" w14:textId="0B72583B" w:rsidR="000F0D78" w:rsidRDefault="000F0D78" w:rsidP="00AF77B1">
            <w:r>
              <w:t xml:space="preserve">The group agreed that planning officers </w:t>
            </w:r>
            <w:r w:rsidRPr="000F0D78">
              <w:rPr>
                <w:shd w:val="clear" w:color="auto" w:fill="FFFFFF" w:themeFill="background1"/>
              </w:rPr>
              <w:t>should receive training in inclusive design (including planning guidance)</w:t>
            </w:r>
            <w:r>
              <w:rPr>
                <w:shd w:val="clear" w:color="auto" w:fill="FFFFFF" w:themeFill="background1"/>
              </w:rPr>
              <w:t xml:space="preserve"> to ensure </w:t>
            </w:r>
            <w:r w:rsidRPr="000F0D78">
              <w:t>consideration from all impairment perspectives, not just those that are represented in the SPG.</w:t>
            </w:r>
            <w:r>
              <w:rPr>
                <w:shd w:val="clear" w:color="auto" w:fill="FFFFFF" w:themeFill="background1"/>
              </w:rPr>
              <w:t xml:space="preserve"> </w:t>
            </w:r>
            <w:r>
              <w:t xml:space="preserve"> </w:t>
            </w:r>
          </w:p>
          <w:p w14:paraId="3CAF895B" w14:textId="33A17A68" w:rsidR="00FD7C96" w:rsidRDefault="00FD7C96" w:rsidP="00AF77B1">
            <w:r>
              <w:t>Though not the job of the group to train officers, the SPG can discuss what training the group feels it would be beneficial for officers on GA’s team to have, and this training requirement can be incorporated into the SPD. GA will then be asked to source funding for this training.</w:t>
            </w:r>
          </w:p>
          <w:p w14:paraId="5C969375" w14:textId="75E89130" w:rsidR="000F0D78" w:rsidRDefault="00EA4035" w:rsidP="00AF77B1">
            <w:r w:rsidRPr="00E1070C">
              <w:rPr>
                <w:b/>
                <w:bCs w:val="0"/>
              </w:rPr>
              <w:t>GA</w:t>
            </w:r>
            <w:r>
              <w:t xml:space="preserve"> left the meeting.</w:t>
            </w:r>
          </w:p>
          <w:p w14:paraId="63BE75FF" w14:textId="77777777" w:rsidR="000F0D78" w:rsidRDefault="000F0D78" w:rsidP="000F0D78">
            <w:r w:rsidRPr="00F97D8F">
              <w:rPr>
                <w:b/>
                <w:color w:val="0000CC"/>
              </w:rPr>
              <w:t>Actions</w:t>
            </w:r>
            <w:r w:rsidRPr="00F97D8F">
              <w:rPr>
                <w:color w:val="0000CC"/>
              </w:rPr>
              <w:t>:</w:t>
            </w:r>
            <w:r>
              <w:t xml:space="preserve"> </w:t>
            </w:r>
          </w:p>
          <w:p w14:paraId="16608F01" w14:textId="2AC964DF" w:rsidR="000F0D78" w:rsidRDefault="00E3473A" w:rsidP="00BB4C99">
            <w:pPr>
              <w:pStyle w:val="ListParagraph"/>
              <w:numPr>
                <w:ilvl w:val="0"/>
                <w:numId w:val="20"/>
              </w:numPr>
              <w:spacing w:before="0" w:after="160" w:line="259" w:lineRule="auto"/>
              <w:rPr>
                <w:color w:val="0000CC"/>
              </w:rPr>
            </w:pPr>
            <w:r w:rsidRPr="00E1070C">
              <w:rPr>
                <w:b/>
                <w:bCs w:val="0"/>
                <w:color w:val="0000CC"/>
              </w:rPr>
              <w:t>DS</w:t>
            </w:r>
            <w:r w:rsidRPr="000F0D78">
              <w:rPr>
                <w:color w:val="0000CC"/>
              </w:rPr>
              <w:t xml:space="preserve"> asked that those who wish to be part of the SPG who have not yet told him, </w:t>
            </w:r>
            <w:r w:rsidR="000F0D78">
              <w:rPr>
                <w:color w:val="0000CC"/>
              </w:rPr>
              <w:t xml:space="preserve">to </w:t>
            </w:r>
            <w:r w:rsidRPr="000F0D78">
              <w:rPr>
                <w:color w:val="0000CC"/>
              </w:rPr>
              <w:t xml:space="preserve">let him know. </w:t>
            </w:r>
          </w:p>
          <w:p w14:paraId="148FCD8F" w14:textId="0B2F97E1" w:rsidR="000F0D78" w:rsidRDefault="00E3473A" w:rsidP="00BB4C99">
            <w:pPr>
              <w:pStyle w:val="ListParagraph"/>
              <w:numPr>
                <w:ilvl w:val="0"/>
                <w:numId w:val="20"/>
              </w:numPr>
              <w:spacing w:before="0" w:after="160" w:line="259" w:lineRule="auto"/>
              <w:rPr>
                <w:color w:val="0000CC"/>
              </w:rPr>
            </w:pPr>
            <w:r w:rsidRPr="00E1070C">
              <w:rPr>
                <w:b/>
                <w:bCs w:val="0"/>
                <w:color w:val="0000CC"/>
              </w:rPr>
              <w:t>DS</w:t>
            </w:r>
            <w:r w:rsidRPr="000F0D78">
              <w:rPr>
                <w:color w:val="0000CC"/>
              </w:rPr>
              <w:t xml:space="preserve"> to set up an initial meeting over Teams to look at best practice of what the council should be doing, based on research into existing practice elsewhere. </w:t>
            </w:r>
          </w:p>
          <w:p w14:paraId="492BC15A" w14:textId="570313A4" w:rsidR="005756C2" w:rsidRPr="00EA4035" w:rsidRDefault="000F0D78" w:rsidP="00BB4C99">
            <w:pPr>
              <w:pStyle w:val="ListParagraph"/>
              <w:numPr>
                <w:ilvl w:val="0"/>
                <w:numId w:val="20"/>
              </w:numPr>
              <w:spacing w:before="0" w:after="160" w:line="259" w:lineRule="auto"/>
              <w:rPr>
                <w:color w:val="0000CC"/>
              </w:rPr>
            </w:pPr>
            <w:r w:rsidRPr="00E1070C">
              <w:rPr>
                <w:b/>
                <w:bCs w:val="0"/>
                <w:color w:val="0000CC"/>
              </w:rPr>
              <w:t>All</w:t>
            </w:r>
            <w:r>
              <w:rPr>
                <w:color w:val="0000CC"/>
              </w:rPr>
              <w:t xml:space="preserve"> to send </w:t>
            </w:r>
            <w:r w:rsidRPr="00E1070C">
              <w:rPr>
                <w:b/>
                <w:bCs w:val="0"/>
                <w:color w:val="0000CC"/>
              </w:rPr>
              <w:t>DS</w:t>
            </w:r>
            <w:r>
              <w:rPr>
                <w:color w:val="0000CC"/>
              </w:rPr>
              <w:t xml:space="preserve"> any examples of best practice from elsewhere, for consideration by the group.</w:t>
            </w:r>
            <w:r w:rsidR="00A57447">
              <w:t xml:space="preserve"> </w:t>
            </w:r>
          </w:p>
        </w:tc>
      </w:tr>
      <w:tr w:rsidR="005756C2" w:rsidRPr="005756C2" w14:paraId="10AB8C86" w14:textId="77777777" w:rsidTr="00974488">
        <w:tc>
          <w:tcPr>
            <w:tcW w:w="852" w:type="dxa"/>
            <w:shd w:val="clear" w:color="auto" w:fill="auto"/>
          </w:tcPr>
          <w:p w14:paraId="1A0C5A70" w14:textId="0D626205" w:rsidR="005756C2" w:rsidRPr="005756C2" w:rsidRDefault="00974488" w:rsidP="00147529">
            <w:pPr>
              <w:pStyle w:val="Heading2"/>
            </w:pPr>
            <w:r>
              <w:lastRenderedPageBreak/>
              <w:t xml:space="preserve">  </w:t>
            </w:r>
            <w:r w:rsidR="005756C2" w:rsidRPr="005756C2">
              <w:t>4</w:t>
            </w:r>
          </w:p>
        </w:tc>
        <w:tc>
          <w:tcPr>
            <w:tcW w:w="9213" w:type="dxa"/>
            <w:shd w:val="clear" w:color="auto" w:fill="auto"/>
          </w:tcPr>
          <w:p w14:paraId="66F6446A" w14:textId="2E85FB2F" w:rsidR="005756C2" w:rsidRPr="005756C2" w:rsidRDefault="002254AC" w:rsidP="00147529">
            <w:pPr>
              <w:pStyle w:val="Heading2"/>
            </w:pPr>
            <w:r>
              <w:t xml:space="preserve">Post-election </w:t>
            </w:r>
            <w:r w:rsidR="00E1070C">
              <w:t>– Blue Badge City Centre Access</w:t>
            </w:r>
          </w:p>
        </w:tc>
      </w:tr>
      <w:tr w:rsidR="003C13C1" w:rsidRPr="005756C2" w14:paraId="664051CF" w14:textId="77777777" w:rsidTr="00974488">
        <w:tc>
          <w:tcPr>
            <w:tcW w:w="852" w:type="dxa"/>
            <w:shd w:val="clear" w:color="auto" w:fill="auto"/>
          </w:tcPr>
          <w:p w14:paraId="5DF9A5C2" w14:textId="77777777" w:rsidR="003C13C1" w:rsidRDefault="003C13C1" w:rsidP="00147529">
            <w:pPr>
              <w:pStyle w:val="Heading2"/>
            </w:pPr>
          </w:p>
        </w:tc>
        <w:tc>
          <w:tcPr>
            <w:tcW w:w="9213" w:type="dxa"/>
            <w:shd w:val="clear" w:color="auto" w:fill="auto"/>
          </w:tcPr>
          <w:p w14:paraId="74B697F5" w14:textId="3505506C" w:rsidR="00FD7C96" w:rsidRDefault="00FD7C96" w:rsidP="0008551A">
            <w:r w:rsidRPr="00FD7C96">
              <w:rPr>
                <w:b/>
                <w:bCs w:val="0"/>
                <w:color w:val="1F4E79" w:themeColor="accent5" w:themeShade="80"/>
              </w:rPr>
              <w:t xml:space="preserve">Pavement obstruction affecting </w:t>
            </w:r>
            <w:r w:rsidR="00F3339A" w:rsidRPr="00FD7C96">
              <w:rPr>
                <w:b/>
                <w:bCs w:val="0"/>
                <w:color w:val="1F4E79" w:themeColor="accent5" w:themeShade="80"/>
              </w:rPr>
              <w:t>accessibility.</w:t>
            </w:r>
          </w:p>
          <w:p w14:paraId="35876C25" w14:textId="57C182A0" w:rsidR="00FD7C96" w:rsidRDefault="00FD7C96" w:rsidP="003C13C1">
            <w:r>
              <w:t xml:space="preserve">Discussion around the Hostile Vehicle </w:t>
            </w:r>
            <w:r w:rsidR="00892321">
              <w:t>M</w:t>
            </w:r>
            <w:r>
              <w:t>easures</w:t>
            </w:r>
            <w:r w:rsidR="00892321">
              <w:t xml:space="preserve"> (HVMs, i.e. </w:t>
            </w:r>
            <w:r>
              <w:t>bollards) being installed on Lendal and High Petergate.</w:t>
            </w:r>
          </w:p>
          <w:p w14:paraId="0A813AB6" w14:textId="587570D3" w:rsidR="00FD7C96" w:rsidRDefault="00FD7C96" w:rsidP="003C13C1">
            <w:r w:rsidRPr="00F26381">
              <w:rPr>
                <w:b/>
                <w:bCs w:val="0"/>
              </w:rPr>
              <w:t xml:space="preserve">Lendal </w:t>
            </w:r>
            <w:r>
              <w:t xml:space="preserve">– concerns </w:t>
            </w:r>
            <w:r w:rsidR="00F26381">
              <w:t xml:space="preserve">raised </w:t>
            </w:r>
            <w:r>
              <w:t xml:space="preserve">around the lack of space around the bollards and the ‘bottleneck’ they create making the pavements very cramped, unsafe (especially in an emergency) and unacceptable. </w:t>
            </w:r>
            <w:r w:rsidR="0064581F">
              <w:t>The p</w:t>
            </w:r>
            <w:r>
              <w:t xml:space="preserve">lanning </w:t>
            </w:r>
            <w:r w:rsidR="0064581F">
              <w:t xml:space="preserve">team </w:t>
            </w:r>
            <w:r>
              <w:t>ha</w:t>
            </w:r>
            <w:r w:rsidR="0064581F">
              <w:t>s</w:t>
            </w:r>
            <w:r>
              <w:t xml:space="preserve"> confirmed that the passage</w:t>
            </w:r>
            <w:r w:rsidR="00F26381">
              <w:t>way</w:t>
            </w:r>
            <w:r>
              <w:t xml:space="preserve"> is compliant with the minimum width</w:t>
            </w:r>
            <w:r w:rsidR="0064581F">
              <w:t xml:space="preserve"> and that </w:t>
            </w:r>
            <w:r w:rsidR="0064581F">
              <w:lastRenderedPageBreak/>
              <w:t>o</w:t>
            </w:r>
            <w:r>
              <w:t xml:space="preserve">nce the </w:t>
            </w:r>
            <w:r w:rsidR="00F26381">
              <w:t>bollards have been installed, there will be space between to reduce pinch points. However, during footstreets hours when the barriers are closed, there will be minimal space.</w:t>
            </w:r>
          </w:p>
          <w:p w14:paraId="3C1CD62C" w14:textId="6F27E356" w:rsidR="00F26381" w:rsidRDefault="00F26381" w:rsidP="00F26381">
            <w:pPr>
              <w:rPr>
                <w:rFonts w:eastAsiaTheme="minorHAnsi" w:cstheme="minorBidi"/>
                <w:bCs w:val="0"/>
              </w:rPr>
            </w:pPr>
            <w:r>
              <w:t xml:space="preserve">FW and DR stated that the already narrow </w:t>
            </w:r>
            <w:r w:rsidRPr="00F26381">
              <w:rPr>
                <w:rFonts w:eastAsiaTheme="minorHAnsi" w:cstheme="minorBidi"/>
                <w:bCs w:val="0"/>
              </w:rPr>
              <w:t xml:space="preserve">Lendal pavement has been made worse by topiary and A-boards placed outside businesses, for which proper enforcement of the policy is needed. </w:t>
            </w:r>
          </w:p>
          <w:p w14:paraId="392CCBFF" w14:textId="77777777" w:rsidR="00F26381" w:rsidRDefault="00F26381" w:rsidP="00F26381">
            <w:pPr>
              <w:rPr>
                <w:rFonts w:eastAsiaTheme="minorHAnsi" w:cstheme="minorBidi"/>
                <w:bCs w:val="0"/>
              </w:rPr>
            </w:pPr>
            <w:r w:rsidRPr="00F26381">
              <w:rPr>
                <w:rFonts w:eastAsiaTheme="minorHAnsi" w:cstheme="minorBidi"/>
                <w:b/>
              </w:rPr>
              <w:t>High Petergate</w:t>
            </w:r>
            <w:r>
              <w:rPr>
                <w:rFonts w:eastAsiaTheme="minorHAnsi" w:cstheme="minorBidi"/>
                <w:bCs w:val="0"/>
              </w:rPr>
              <w:t xml:space="preserve"> – FW pointed out that no allowance has been made for the stone jutting out from the adjacent building, narrowing the width to the bollard sensor.</w:t>
            </w:r>
          </w:p>
          <w:p w14:paraId="215AE9E3" w14:textId="0985267B" w:rsidR="00EA4035" w:rsidRPr="00EA4035" w:rsidRDefault="00EA4035" w:rsidP="0008551A">
            <w:pPr>
              <w:rPr>
                <w:b/>
                <w:bCs w:val="0"/>
                <w:color w:val="1F4E79" w:themeColor="accent5" w:themeShade="80"/>
              </w:rPr>
            </w:pPr>
            <w:r w:rsidRPr="00EA4035">
              <w:rPr>
                <w:b/>
                <w:bCs w:val="0"/>
                <w:color w:val="1F4E79" w:themeColor="accent5" w:themeShade="80"/>
              </w:rPr>
              <w:t>Access to the city centre post-election</w:t>
            </w:r>
          </w:p>
          <w:p w14:paraId="3E55409A" w14:textId="3DEC1743" w:rsidR="00892321" w:rsidRDefault="00892321" w:rsidP="00892321">
            <w:pPr>
              <w:rPr>
                <w:rFonts w:eastAsiaTheme="minorHAnsi" w:cstheme="minorBidi"/>
                <w:bCs w:val="0"/>
              </w:rPr>
            </w:pPr>
            <w:r w:rsidRPr="00C76165">
              <w:rPr>
                <w:b/>
                <w:bCs w:val="0"/>
              </w:rPr>
              <w:t>DS</w:t>
            </w:r>
            <w:r>
              <w:t xml:space="preserve"> informed the group that the new administration are listening and that he has made it clear that the YAF </w:t>
            </w:r>
            <w:r w:rsidRPr="00892321">
              <w:rPr>
                <w:rFonts w:eastAsiaTheme="minorHAnsi" w:cstheme="minorBidi"/>
                <w:bCs w:val="0"/>
              </w:rPr>
              <w:t xml:space="preserve">wants to make its own contribution in terms of how blue badge holders can once again access the city centre. </w:t>
            </w:r>
          </w:p>
          <w:p w14:paraId="0A8D0D25" w14:textId="784FFFE6" w:rsidR="00892321" w:rsidRPr="00892321" w:rsidRDefault="00892321" w:rsidP="00892321">
            <w:pPr>
              <w:rPr>
                <w:rFonts w:eastAsiaTheme="minorHAnsi" w:cstheme="minorBidi"/>
                <w:bCs w:val="0"/>
              </w:rPr>
            </w:pPr>
            <w:r>
              <w:rPr>
                <w:rFonts w:eastAsiaTheme="minorHAnsi" w:cstheme="minorBidi"/>
                <w:bCs w:val="0"/>
              </w:rPr>
              <w:t xml:space="preserve">Following feedback from several group members, </w:t>
            </w:r>
            <w:r w:rsidRPr="00C76165">
              <w:rPr>
                <w:rFonts w:eastAsiaTheme="minorHAnsi" w:cstheme="minorBidi"/>
                <w:b/>
              </w:rPr>
              <w:t>DS</w:t>
            </w:r>
            <w:r>
              <w:rPr>
                <w:rFonts w:eastAsiaTheme="minorHAnsi" w:cstheme="minorBidi"/>
                <w:bCs w:val="0"/>
              </w:rPr>
              <w:t xml:space="preserve"> confirmed with the group that </w:t>
            </w:r>
            <w:r w:rsidRPr="00892321">
              <w:rPr>
                <w:rFonts w:eastAsiaTheme="minorHAnsi" w:cstheme="minorBidi"/>
                <w:bCs w:val="0"/>
              </w:rPr>
              <w:t>the minimum level of acceptance</w:t>
            </w:r>
            <w:r>
              <w:rPr>
                <w:rFonts w:eastAsiaTheme="minorHAnsi" w:cstheme="minorBidi"/>
                <w:bCs w:val="0"/>
              </w:rPr>
              <w:t xml:space="preserve"> to be requested</w:t>
            </w:r>
            <w:r w:rsidRPr="00892321">
              <w:rPr>
                <w:rFonts w:eastAsiaTheme="minorHAnsi" w:cstheme="minorBidi"/>
                <w:bCs w:val="0"/>
              </w:rPr>
              <w:t xml:space="preserve"> in terms of access is th</w:t>
            </w:r>
            <w:r>
              <w:rPr>
                <w:rFonts w:eastAsiaTheme="minorHAnsi" w:cstheme="minorBidi"/>
                <w:bCs w:val="0"/>
              </w:rPr>
              <w:t>e equivalent of th</w:t>
            </w:r>
            <w:r w:rsidRPr="00892321">
              <w:rPr>
                <w:rFonts w:eastAsiaTheme="minorHAnsi" w:cstheme="minorBidi"/>
                <w:bCs w:val="0"/>
              </w:rPr>
              <w:t>at in place in 2019, with the proviso of a full review of blue badge parking in the city centre.</w:t>
            </w:r>
            <w:r>
              <w:rPr>
                <w:rFonts w:eastAsiaTheme="minorHAnsi" w:cstheme="minorBidi"/>
                <w:bCs w:val="0"/>
              </w:rPr>
              <w:t xml:space="preserve"> It was acknowledged that</w:t>
            </w:r>
            <w:r w:rsidR="0064581F">
              <w:rPr>
                <w:rFonts w:eastAsiaTheme="minorHAnsi" w:cstheme="minorBidi"/>
                <w:bCs w:val="0"/>
              </w:rPr>
              <w:t>,</w:t>
            </w:r>
            <w:r>
              <w:rPr>
                <w:rFonts w:eastAsiaTheme="minorHAnsi" w:cstheme="minorBidi"/>
                <w:bCs w:val="0"/>
              </w:rPr>
              <w:t xml:space="preserve"> for several reasons (including the HVMs and extending the footstreets)</w:t>
            </w:r>
            <w:r w:rsidR="0064581F">
              <w:rPr>
                <w:rFonts w:eastAsiaTheme="minorHAnsi" w:cstheme="minorBidi"/>
                <w:bCs w:val="0"/>
              </w:rPr>
              <w:t>,</w:t>
            </w:r>
            <w:r>
              <w:rPr>
                <w:rFonts w:eastAsiaTheme="minorHAnsi" w:cstheme="minorBidi"/>
                <w:bCs w:val="0"/>
              </w:rPr>
              <w:t xml:space="preserve"> </w:t>
            </w:r>
            <w:proofErr w:type="gramStart"/>
            <w:r w:rsidR="00BB4C99">
              <w:rPr>
                <w:rFonts w:eastAsiaTheme="minorHAnsi" w:cstheme="minorBidi"/>
                <w:bCs w:val="0"/>
              </w:rPr>
              <w:t>exactly the same</w:t>
            </w:r>
            <w:proofErr w:type="gramEnd"/>
            <w:r w:rsidR="00BB4C99">
              <w:rPr>
                <w:rFonts w:eastAsiaTheme="minorHAnsi" w:cstheme="minorBidi"/>
                <w:bCs w:val="0"/>
              </w:rPr>
              <w:t xml:space="preserve"> access will not be possible. </w:t>
            </w:r>
            <w:r w:rsidR="00BB4C99" w:rsidRPr="002371C9">
              <w:rPr>
                <w:rFonts w:eastAsiaTheme="minorHAnsi" w:cstheme="minorBidi"/>
                <w:b/>
              </w:rPr>
              <w:t>DS</w:t>
            </w:r>
            <w:r w:rsidR="00BB4C99">
              <w:rPr>
                <w:rFonts w:eastAsiaTheme="minorHAnsi" w:cstheme="minorBidi"/>
                <w:bCs w:val="0"/>
              </w:rPr>
              <w:t xml:space="preserve"> confirmed that the newly elected council has committed to restoring access (during their administration over the next five years), but that the future beyond that cannot be predicted or guaranteed. </w:t>
            </w:r>
          </w:p>
          <w:p w14:paraId="6AB5E46C" w14:textId="74605930" w:rsidR="00BB4C99" w:rsidRDefault="00BB4C99" w:rsidP="00BB4C99">
            <w:pPr>
              <w:rPr>
                <w:b/>
                <w:color w:val="0000CC"/>
              </w:rPr>
            </w:pPr>
            <w:r w:rsidRPr="00BB4C99">
              <w:rPr>
                <w:b/>
                <w:color w:val="0000CC"/>
              </w:rPr>
              <w:t xml:space="preserve">Actions: </w:t>
            </w:r>
          </w:p>
          <w:p w14:paraId="5F08EC5B" w14:textId="21619ACF" w:rsidR="00BB4C99" w:rsidRPr="00BB4C99" w:rsidRDefault="00BB4C99" w:rsidP="00BB4C99">
            <w:pPr>
              <w:pStyle w:val="ListParagraph"/>
              <w:numPr>
                <w:ilvl w:val="0"/>
                <w:numId w:val="26"/>
              </w:numPr>
              <w:rPr>
                <w:b/>
                <w:color w:val="0000CC"/>
              </w:rPr>
            </w:pPr>
            <w:r w:rsidRPr="00F3339A">
              <w:rPr>
                <w:b/>
                <w:bCs w:val="0"/>
                <w:color w:val="0000CC"/>
              </w:rPr>
              <w:t>DS</w:t>
            </w:r>
            <w:r w:rsidRPr="00BB4C99">
              <w:rPr>
                <w:color w:val="0000CC"/>
              </w:rPr>
              <w:t xml:space="preserve"> </w:t>
            </w:r>
            <w:r w:rsidRPr="00BB4C99">
              <w:rPr>
                <w:bCs w:val="0"/>
                <w:color w:val="0000CC"/>
              </w:rPr>
              <w:t>agreed at the request of the group to identify the relevant person, share these concerns and request that the HVM installation be paused. Agreed to feed back the response to the group.</w:t>
            </w:r>
            <w:r w:rsidRPr="00BB4C99">
              <w:rPr>
                <w:rFonts w:eastAsiaTheme="minorHAnsi" w:cstheme="minorBidi"/>
                <w:bCs w:val="0"/>
              </w:rPr>
              <w:t xml:space="preserve"> </w:t>
            </w:r>
          </w:p>
          <w:p w14:paraId="4D58E46F" w14:textId="4B9B4636" w:rsidR="003C13C1" w:rsidRPr="0064581F" w:rsidRDefault="00BB4C99" w:rsidP="00BB4C99">
            <w:pPr>
              <w:pStyle w:val="ListParagraph"/>
              <w:numPr>
                <w:ilvl w:val="0"/>
                <w:numId w:val="26"/>
              </w:numPr>
              <w:rPr>
                <w:bCs w:val="0"/>
                <w:color w:val="0000CC"/>
              </w:rPr>
            </w:pPr>
            <w:r w:rsidRPr="00F3339A">
              <w:rPr>
                <w:b/>
                <w:color w:val="0000CC"/>
              </w:rPr>
              <w:t>DS</w:t>
            </w:r>
            <w:r w:rsidRPr="00BB4C99">
              <w:rPr>
                <w:bCs w:val="0"/>
                <w:color w:val="0000CC"/>
              </w:rPr>
              <w:t xml:space="preserve"> to share with the newly elected members the request of the YAF to restore an equivalent level of access to the city centre as was in place in 2019, with the proviso of a full review of blue badge parking in the city centre.</w:t>
            </w:r>
          </w:p>
        </w:tc>
      </w:tr>
      <w:tr w:rsidR="00635007" w:rsidRPr="005756C2" w14:paraId="0FADCFCE" w14:textId="77777777" w:rsidTr="00974488">
        <w:tc>
          <w:tcPr>
            <w:tcW w:w="852" w:type="dxa"/>
            <w:shd w:val="clear" w:color="auto" w:fill="auto"/>
          </w:tcPr>
          <w:p w14:paraId="1D2DAA23" w14:textId="7DE26BC1" w:rsidR="00635007" w:rsidRPr="005756C2" w:rsidRDefault="00B44D59" w:rsidP="00147529">
            <w:pPr>
              <w:pStyle w:val="Heading2"/>
            </w:pPr>
            <w:r>
              <w:lastRenderedPageBreak/>
              <w:t xml:space="preserve"> </w:t>
            </w:r>
            <w:r w:rsidR="00635007">
              <w:t>5</w:t>
            </w:r>
          </w:p>
        </w:tc>
        <w:tc>
          <w:tcPr>
            <w:tcW w:w="9213" w:type="dxa"/>
            <w:shd w:val="clear" w:color="auto" w:fill="auto"/>
          </w:tcPr>
          <w:p w14:paraId="7BE4B2D7" w14:textId="1AE9A35C" w:rsidR="00635007" w:rsidRPr="005756C2" w:rsidRDefault="002254AC" w:rsidP="00147529">
            <w:pPr>
              <w:pStyle w:val="Heading2"/>
            </w:pPr>
            <w:r w:rsidRPr="005756C2">
              <w:t>Any other business</w:t>
            </w:r>
          </w:p>
        </w:tc>
      </w:tr>
      <w:tr w:rsidR="00635007" w:rsidRPr="005756C2" w14:paraId="7A4E9761" w14:textId="77777777" w:rsidTr="00974488">
        <w:tc>
          <w:tcPr>
            <w:tcW w:w="852" w:type="dxa"/>
            <w:shd w:val="clear" w:color="auto" w:fill="auto"/>
          </w:tcPr>
          <w:p w14:paraId="73133B9E" w14:textId="77777777" w:rsidR="00635007" w:rsidRPr="005756C2" w:rsidRDefault="00635007" w:rsidP="00147529"/>
        </w:tc>
        <w:tc>
          <w:tcPr>
            <w:tcW w:w="9213" w:type="dxa"/>
            <w:shd w:val="clear" w:color="auto" w:fill="auto"/>
          </w:tcPr>
          <w:p w14:paraId="7EA0B733" w14:textId="0306D23F" w:rsidR="00635007" w:rsidRPr="002254AC" w:rsidRDefault="002254AC" w:rsidP="0008551A">
            <w:pPr>
              <w:rPr>
                <w:b/>
                <w:bCs w:val="0"/>
                <w:color w:val="1F4E79" w:themeColor="accent5" w:themeShade="80"/>
              </w:rPr>
            </w:pPr>
            <w:r w:rsidRPr="002254AC">
              <w:rPr>
                <w:b/>
                <w:bCs w:val="0"/>
                <w:color w:val="1F4E79" w:themeColor="accent5" w:themeShade="80"/>
              </w:rPr>
              <w:t>Coney Street Riverside Project</w:t>
            </w:r>
          </w:p>
          <w:p w14:paraId="47E2D65F" w14:textId="77777777" w:rsidR="00BB4C99" w:rsidRPr="00BB4C99" w:rsidRDefault="00BB4C99" w:rsidP="00BB4C99">
            <w:pPr>
              <w:spacing w:before="0" w:after="160" w:line="259" w:lineRule="auto"/>
              <w:rPr>
                <w:rFonts w:eastAsiaTheme="minorHAnsi" w:cstheme="minorBidi"/>
                <w:bCs w:val="0"/>
              </w:rPr>
            </w:pPr>
            <w:r w:rsidRPr="00F3339A">
              <w:rPr>
                <w:rFonts w:eastAsiaTheme="minorHAnsi" w:cstheme="minorBidi"/>
                <w:b/>
              </w:rPr>
              <w:t>HK</w:t>
            </w:r>
            <w:r w:rsidRPr="00BB4C99">
              <w:rPr>
                <w:rFonts w:eastAsiaTheme="minorHAnsi" w:cstheme="minorBidi"/>
                <w:bCs w:val="0"/>
              </w:rPr>
              <w:t xml:space="preserve"> explained that she is working with the developers.</w:t>
            </w:r>
          </w:p>
          <w:p w14:paraId="6446E73B" w14:textId="59BCB757" w:rsidR="00BB4C99" w:rsidRPr="00BB4C99" w:rsidRDefault="00BB4C99" w:rsidP="00BB4C99">
            <w:pPr>
              <w:spacing w:before="0" w:after="160" w:line="259" w:lineRule="auto"/>
              <w:rPr>
                <w:rFonts w:eastAsiaTheme="minorHAnsi" w:cstheme="minorBidi"/>
                <w:bCs w:val="0"/>
              </w:rPr>
            </w:pPr>
            <w:r w:rsidRPr="00BB4C99">
              <w:rPr>
                <w:rFonts w:eastAsiaTheme="minorHAnsi" w:cstheme="minorBidi"/>
                <w:bCs w:val="0"/>
              </w:rPr>
              <w:lastRenderedPageBreak/>
              <w:t>An engagement event was held on 9</w:t>
            </w:r>
            <w:r w:rsidRPr="00BB4C99">
              <w:rPr>
                <w:rFonts w:eastAsiaTheme="minorHAnsi" w:cstheme="minorBidi"/>
                <w:bCs w:val="0"/>
                <w:vertAlign w:val="superscript"/>
              </w:rPr>
              <w:t>th</w:t>
            </w:r>
            <w:r w:rsidRPr="00BB4C99">
              <w:rPr>
                <w:rFonts w:eastAsiaTheme="minorHAnsi" w:cstheme="minorBidi"/>
                <w:bCs w:val="0"/>
              </w:rPr>
              <w:t xml:space="preserve"> May</w:t>
            </w:r>
            <w:r w:rsidR="0008551A">
              <w:rPr>
                <w:rFonts w:eastAsiaTheme="minorHAnsi" w:cstheme="minorBidi"/>
                <w:bCs w:val="0"/>
              </w:rPr>
              <w:t xml:space="preserve"> 2023</w:t>
            </w:r>
            <w:r w:rsidRPr="00BB4C99">
              <w:rPr>
                <w:rFonts w:eastAsiaTheme="minorHAnsi" w:cstheme="minorBidi"/>
                <w:bCs w:val="0"/>
              </w:rPr>
              <w:t xml:space="preserve"> where the developer’s designs were presented for comment by the public. All comments will be collated into an Access Statement and HK has </w:t>
            </w:r>
            <w:r w:rsidR="0008551A">
              <w:rPr>
                <w:rFonts w:eastAsiaTheme="minorHAnsi" w:cstheme="minorBidi"/>
                <w:bCs w:val="0"/>
              </w:rPr>
              <w:t>completed</w:t>
            </w:r>
            <w:r w:rsidRPr="00BB4C99">
              <w:rPr>
                <w:rFonts w:eastAsiaTheme="minorHAnsi" w:cstheme="minorBidi"/>
                <w:bCs w:val="0"/>
              </w:rPr>
              <w:t xml:space="preserve"> an Equality Impact Assessment (EIA), which she will summarise and bring to the next meeting in July.</w:t>
            </w:r>
          </w:p>
          <w:p w14:paraId="1AADF5FD" w14:textId="27063DE3" w:rsidR="00BB4C99" w:rsidRPr="00BB4C99" w:rsidRDefault="0008551A" w:rsidP="00BB4C99">
            <w:pPr>
              <w:spacing w:before="0" w:after="160" w:line="259" w:lineRule="auto"/>
              <w:rPr>
                <w:rFonts w:eastAsiaTheme="minorHAnsi" w:cstheme="minorBidi"/>
                <w:bCs w:val="0"/>
              </w:rPr>
            </w:pPr>
            <w:r>
              <w:rPr>
                <w:rFonts w:eastAsiaTheme="minorHAnsi" w:cstheme="minorBidi"/>
                <w:bCs w:val="0"/>
              </w:rPr>
              <w:t xml:space="preserve">Several members of the group expressed finding the event very helpful and it was hoped </w:t>
            </w:r>
            <w:r w:rsidR="00BB4C99" w:rsidRPr="00BB4C99">
              <w:rPr>
                <w:rFonts w:eastAsiaTheme="minorHAnsi" w:cstheme="minorBidi"/>
                <w:bCs w:val="0"/>
              </w:rPr>
              <w:t xml:space="preserve">this would act as a model for the council in the future. </w:t>
            </w:r>
          </w:p>
          <w:p w14:paraId="2C2BE32A" w14:textId="2247A0CE" w:rsidR="00BB4C99" w:rsidRPr="00BB4C99" w:rsidRDefault="00BB4C99" w:rsidP="00BB4C99">
            <w:pPr>
              <w:spacing w:before="0" w:after="160" w:line="259" w:lineRule="auto"/>
              <w:rPr>
                <w:rFonts w:eastAsiaTheme="minorHAnsi" w:cstheme="minorBidi"/>
                <w:bCs w:val="0"/>
              </w:rPr>
            </w:pPr>
            <w:r w:rsidRPr="00F3339A">
              <w:rPr>
                <w:rFonts w:eastAsiaTheme="minorHAnsi" w:cstheme="minorBidi"/>
                <w:b/>
              </w:rPr>
              <w:t>HK</w:t>
            </w:r>
            <w:r w:rsidRPr="00BB4C99">
              <w:rPr>
                <w:rFonts w:eastAsiaTheme="minorHAnsi" w:cstheme="minorBidi"/>
                <w:bCs w:val="0"/>
              </w:rPr>
              <w:t xml:space="preserve"> offered to bring to the next meeting the tactile model and images and comments for the group to add any further comments if wished. She was also happy for people to email her directly </w:t>
            </w:r>
            <w:r w:rsidR="0008551A">
              <w:rPr>
                <w:rFonts w:eastAsiaTheme="minorHAnsi" w:cstheme="minorBidi"/>
                <w:bCs w:val="0"/>
              </w:rPr>
              <w:t xml:space="preserve">at </w:t>
            </w:r>
            <w:hyperlink r:id="rId7" w:history="1">
              <w:r w:rsidRPr="00BB4C99">
                <w:rPr>
                  <w:rFonts w:eastAsiaTheme="minorHAnsi" w:cstheme="minorBidi"/>
                  <w:bCs w:val="0"/>
                  <w:color w:val="0563C1" w:themeColor="hyperlink"/>
                  <w:u w:val="single"/>
                </w:rPr>
                <w:t>helen@access-included.co.uk</w:t>
              </w:r>
            </w:hyperlink>
            <w:r w:rsidRPr="00BB4C99">
              <w:rPr>
                <w:rFonts w:eastAsiaTheme="minorHAnsi" w:cstheme="minorBidi"/>
                <w:bCs w:val="0"/>
              </w:rPr>
              <w:t xml:space="preserve"> </w:t>
            </w:r>
          </w:p>
          <w:p w14:paraId="70669420" w14:textId="58EBC357" w:rsidR="0008551A" w:rsidRDefault="0008551A" w:rsidP="0008551A">
            <w:pPr>
              <w:rPr>
                <w:b/>
                <w:color w:val="0000CC"/>
              </w:rPr>
            </w:pPr>
            <w:r w:rsidRPr="00BB4C99">
              <w:rPr>
                <w:b/>
                <w:color w:val="0000CC"/>
              </w:rPr>
              <w:t xml:space="preserve">Actions: </w:t>
            </w:r>
          </w:p>
          <w:p w14:paraId="4578D727" w14:textId="4459AC5A" w:rsidR="00BB4C99" w:rsidRDefault="0008551A" w:rsidP="0008551A">
            <w:pPr>
              <w:pStyle w:val="ListParagraph"/>
              <w:numPr>
                <w:ilvl w:val="0"/>
                <w:numId w:val="28"/>
              </w:numPr>
            </w:pPr>
            <w:r w:rsidRPr="00F3339A">
              <w:rPr>
                <w:b/>
                <w:bCs w:val="0"/>
                <w:color w:val="0000CC"/>
              </w:rPr>
              <w:t>HK</w:t>
            </w:r>
            <w:r>
              <w:rPr>
                <w:color w:val="0000CC"/>
              </w:rPr>
              <w:t xml:space="preserve"> to bring tactile model and images to July YAF meeting when she will talk further about the project. </w:t>
            </w:r>
          </w:p>
          <w:p w14:paraId="6F88EF30" w14:textId="567E4934" w:rsidR="002D6775" w:rsidRDefault="0008551A" w:rsidP="00F3339A">
            <w:pPr>
              <w:pStyle w:val="Heading3"/>
            </w:pPr>
            <w:r w:rsidRPr="0008551A">
              <w:t>Planning for events in the city centre</w:t>
            </w:r>
          </w:p>
          <w:p w14:paraId="45CB247C" w14:textId="730D7B87" w:rsidR="0008551A" w:rsidRDefault="0008551A" w:rsidP="00147529">
            <w:r>
              <w:t xml:space="preserve">AN asked what planning for disabled access there is for large events (e.g. the King’s recent visit). </w:t>
            </w:r>
          </w:p>
          <w:p w14:paraId="73D65EA1" w14:textId="77777777" w:rsidR="0008551A" w:rsidRPr="0008551A" w:rsidRDefault="0008551A" w:rsidP="0008551A">
            <w:pPr>
              <w:spacing w:before="0" w:after="160" w:line="259" w:lineRule="auto"/>
              <w:contextualSpacing/>
              <w:rPr>
                <w:rFonts w:eastAsiaTheme="minorHAnsi" w:cstheme="minorBidi"/>
                <w:bCs w:val="0"/>
              </w:rPr>
            </w:pPr>
            <w:r w:rsidRPr="0008551A">
              <w:rPr>
                <w:rFonts w:eastAsiaTheme="minorHAnsi" w:cstheme="minorBidi"/>
                <w:bCs w:val="0"/>
              </w:rPr>
              <w:t>DS confirmed we tried to provide this but there was not enough notice on the latest occasion for the landlord (of the area chosen) and for security. However, there is a commitment to come up with a solution for future events.</w:t>
            </w:r>
          </w:p>
          <w:p w14:paraId="0E17F2B6" w14:textId="3F9FC658" w:rsidR="002D6775" w:rsidRPr="002D6775" w:rsidRDefault="002D6775" w:rsidP="00F3339A">
            <w:pPr>
              <w:pStyle w:val="Heading3"/>
              <w:rPr>
                <w:bCs/>
              </w:rPr>
            </w:pPr>
            <w:r w:rsidRPr="002D6775">
              <w:t>CYC Blue Badge Team</w:t>
            </w:r>
          </w:p>
          <w:p w14:paraId="342D0EDB" w14:textId="01364323" w:rsidR="002D6775" w:rsidRDefault="002D6775" w:rsidP="00147529">
            <w:r>
              <w:t xml:space="preserve">DS is awaiting feedback and statistics from the team. </w:t>
            </w:r>
            <w:r w:rsidR="0065307E">
              <w:t>This item will be carried over to the next YAF meeting.</w:t>
            </w:r>
          </w:p>
          <w:p w14:paraId="1D5E570E" w14:textId="77777777" w:rsidR="0065307E" w:rsidRDefault="0065307E" w:rsidP="0065307E">
            <w:pPr>
              <w:rPr>
                <w:b/>
                <w:color w:val="0000CC"/>
              </w:rPr>
            </w:pPr>
            <w:r w:rsidRPr="00BB4C99">
              <w:rPr>
                <w:b/>
                <w:color w:val="0000CC"/>
              </w:rPr>
              <w:t xml:space="preserve">Actions: </w:t>
            </w:r>
          </w:p>
          <w:p w14:paraId="19BA528F" w14:textId="0627F795" w:rsidR="0065307E" w:rsidRDefault="0065307E" w:rsidP="0065307E">
            <w:pPr>
              <w:pStyle w:val="ListParagraph"/>
              <w:numPr>
                <w:ilvl w:val="0"/>
                <w:numId w:val="28"/>
              </w:numPr>
            </w:pPr>
            <w:r w:rsidRPr="00F3339A">
              <w:rPr>
                <w:b/>
                <w:bCs w:val="0"/>
                <w:color w:val="0000CC"/>
              </w:rPr>
              <w:t>DS</w:t>
            </w:r>
            <w:r>
              <w:rPr>
                <w:color w:val="0000CC"/>
              </w:rPr>
              <w:t xml:space="preserve"> agreed to ask if a member of the Blue Badge Team can attend the next YAF meeting.</w:t>
            </w:r>
          </w:p>
          <w:p w14:paraId="4BD40CC3" w14:textId="0EE88F96" w:rsidR="0065307E" w:rsidRPr="0065307E" w:rsidRDefault="0065307E" w:rsidP="00147529">
            <w:pPr>
              <w:rPr>
                <w:b/>
                <w:bCs w:val="0"/>
                <w:color w:val="1F4E79" w:themeColor="accent5" w:themeShade="80"/>
              </w:rPr>
            </w:pPr>
            <w:r w:rsidRPr="0065307E">
              <w:rPr>
                <w:b/>
                <w:bCs w:val="0"/>
                <w:color w:val="1F4E79" w:themeColor="accent5" w:themeShade="80"/>
              </w:rPr>
              <w:t>Terms of Reference</w:t>
            </w:r>
          </w:p>
          <w:p w14:paraId="27ED4F07" w14:textId="77777777" w:rsidR="0065307E" w:rsidRDefault="0065307E" w:rsidP="0065307E">
            <w:pPr>
              <w:rPr>
                <w:b/>
                <w:color w:val="0000CC"/>
              </w:rPr>
            </w:pPr>
            <w:r w:rsidRPr="00BB4C99">
              <w:rPr>
                <w:b/>
                <w:color w:val="0000CC"/>
              </w:rPr>
              <w:t xml:space="preserve">Actions: </w:t>
            </w:r>
          </w:p>
          <w:p w14:paraId="43E3194E" w14:textId="2746CE82" w:rsidR="00654028" w:rsidRPr="00AB2445" w:rsidRDefault="0065307E" w:rsidP="0065307E">
            <w:pPr>
              <w:pStyle w:val="ListParagraph"/>
              <w:numPr>
                <w:ilvl w:val="0"/>
                <w:numId w:val="28"/>
              </w:numPr>
              <w:rPr>
                <w:color w:val="0000CC"/>
              </w:rPr>
            </w:pPr>
            <w:r w:rsidRPr="00F3339A">
              <w:rPr>
                <w:b/>
                <w:bCs w:val="0"/>
                <w:color w:val="0000CC"/>
              </w:rPr>
              <w:t>DS</w:t>
            </w:r>
            <w:r w:rsidRPr="0065307E">
              <w:rPr>
                <w:color w:val="0000CC"/>
              </w:rPr>
              <w:t xml:space="preserve"> agreed to </w:t>
            </w:r>
            <w:r>
              <w:rPr>
                <w:color w:val="0000CC"/>
              </w:rPr>
              <w:t xml:space="preserve">email a draft Terms of Reference document to the group for comments. </w:t>
            </w:r>
          </w:p>
        </w:tc>
      </w:tr>
      <w:tr w:rsidR="005756C2" w:rsidRPr="005756C2" w14:paraId="21507E3F" w14:textId="77777777" w:rsidTr="00974488">
        <w:tc>
          <w:tcPr>
            <w:tcW w:w="852" w:type="dxa"/>
            <w:shd w:val="clear" w:color="auto" w:fill="auto"/>
          </w:tcPr>
          <w:p w14:paraId="3A122135" w14:textId="57D612B3" w:rsidR="005756C2" w:rsidRPr="005756C2" w:rsidRDefault="00654028" w:rsidP="00147529">
            <w:pPr>
              <w:pStyle w:val="Heading2"/>
            </w:pPr>
            <w:r>
              <w:lastRenderedPageBreak/>
              <w:t>11</w:t>
            </w:r>
            <w:r w:rsidR="005756C2" w:rsidRPr="005756C2">
              <w:t>.</w:t>
            </w:r>
          </w:p>
        </w:tc>
        <w:tc>
          <w:tcPr>
            <w:tcW w:w="9213" w:type="dxa"/>
            <w:shd w:val="clear" w:color="auto" w:fill="auto"/>
          </w:tcPr>
          <w:p w14:paraId="6490C7DE" w14:textId="4A984A33" w:rsidR="005756C2" w:rsidRPr="005756C2" w:rsidRDefault="005756C2" w:rsidP="00147529">
            <w:pPr>
              <w:pStyle w:val="Heading2"/>
            </w:pPr>
            <w:r w:rsidRPr="005756C2">
              <w:t>Next meeting</w:t>
            </w:r>
          </w:p>
        </w:tc>
      </w:tr>
      <w:tr w:rsidR="005756C2" w:rsidRPr="005756C2" w14:paraId="69BDDB14" w14:textId="77777777" w:rsidTr="00974488">
        <w:tc>
          <w:tcPr>
            <w:tcW w:w="852" w:type="dxa"/>
            <w:shd w:val="clear" w:color="auto" w:fill="auto"/>
          </w:tcPr>
          <w:p w14:paraId="2807EE43" w14:textId="77777777" w:rsidR="005756C2" w:rsidRPr="005756C2" w:rsidRDefault="005756C2" w:rsidP="00147529"/>
        </w:tc>
        <w:tc>
          <w:tcPr>
            <w:tcW w:w="9213" w:type="dxa"/>
            <w:shd w:val="clear" w:color="auto" w:fill="auto"/>
          </w:tcPr>
          <w:p w14:paraId="37717914" w14:textId="77777777" w:rsidR="006713AA" w:rsidRDefault="006713AA" w:rsidP="00147529">
            <w:r>
              <w:t>The meetings for the rest of 2023 were confirmed as:</w:t>
            </w:r>
          </w:p>
          <w:p w14:paraId="01CD4F65" w14:textId="7E6A0233" w:rsidR="006713AA" w:rsidRPr="006713AA" w:rsidRDefault="006713AA" w:rsidP="006713AA">
            <w:r w:rsidRPr="006713AA">
              <w:t xml:space="preserve">26 July </w:t>
            </w:r>
            <w:r w:rsidRPr="006713AA">
              <w:tab/>
            </w:r>
            <w:r w:rsidRPr="006713AA">
              <w:tab/>
              <w:t>10:30 to 1</w:t>
            </w:r>
            <w:r w:rsidR="0065307E">
              <w:t>3</w:t>
            </w:r>
            <w:r w:rsidRPr="006713AA">
              <w:t>:0</w:t>
            </w:r>
            <w:r w:rsidR="0065307E">
              <w:t>0</w:t>
            </w:r>
          </w:p>
          <w:p w14:paraId="3C6B89D8" w14:textId="5A66D838" w:rsidR="006713AA" w:rsidRPr="006713AA" w:rsidRDefault="006713AA" w:rsidP="006713AA">
            <w:r w:rsidRPr="006713AA">
              <w:t>19 September</w:t>
            </w:r>
            <w:r w:rsidRPr="006713AA">
              <w:tab/>
              <w:t>10:30 to 1</w:t>
            </w:r>
            <w:r w:rsidR="0065307E">
              <w:t>3</w:t>
            </w:r>
            <w:r w:rsidRPr="006713AA">
              <w:t>:</w:t>
            </w:r>
            <w:r w:rsidR="0065307E">
              <w:t>0</w:t>
            </w:r>
            <w:r w:rsidRPr="006713AA">
              <w:t>0</w:t>
            </w:r>
          </w:p>
          <w:p w14:paraId="0493E723" w14:textId="65777E84" w:rsidR="006713AA" w:rsidRPr="006713AA" w:rsidRDefault="006713AA" w:rsidP="006713AA">
            <w:r w:rsidRPr="006713AA">
              <w:lastRenderedPageBreak/>
              <w:t>22 November</w:t>
            </w:r>
            <w:r w:rsidRPr="006713AA">
              <w:tab/>
              <w:t>10:30 to 1</w:t>
            </w:r>
            <w:r w:rsidR="0065307E">
              <w:t>3</w:t>
            </w:r>
            <w:r w:rsidRPr="006713AA">
              <w:t>:</w:t>
            </w:r>
            <w:r w:rsidR="0065307E">
              <w:t>0</w:t>
            </w:r>
            <w:r w:rsidRPr="006713AA">
              <w:t>0</w:t>
            </w:r>
          </w:p>
          <w:p w14:paraId="304685DA" w14:textId="77777777" w:rsidR="006713AA" w:rsidRDefault="006713AA" w:rsidP="00147529"/>
          <w:p w14:paraId="75AFEA8E" w14:textId="45291B3C" w:rsidR="006713AA" w:rsidRDefault="006713AA" w:rsidP="00147529">
            <w:r>
              <w:t xml:space="preserve">All at West Offices </w:t>
            </w:r>
            <w:r w:rsidRPr="0065307E">
              <w:t>and online</w:t>
            </w:r>
            <w:r w:rsidR="0065307E">
              <w:t xml:space="preserve"> (Teams)</w:t>
            </w:r>
          </w:p>
          <w:p w14:paraId="64353EFA" w14:textId="30CB13F7" w:rsidR="005756C2" w:rsidRPr="005756C2" w:rsidRDefault="005756C2" w:rsidP="00147529"/>
        </w:tc>
      </w:tr>
    </w:tbl>
    <w:p w14:paraId="5F43DE26" w14:textId="77777777" w:rsidR="005756C2" w:rsidRDefault="005756C2" w:rsidP="00147529"/>
    <w:sectPr w:rsidR="005756C2" w:rsidSect="00B44D59">
      <w:footerReference w:type="default" r:id="rId8"/>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33D3" w14:textId="77777777" w:rsidR="00933911" w:rsidRDefault="00933911" w:rsidP="00147529">
      <w:r>
        <w:separator/>
      </w:r>
    </w:p>
  </w:endnote>
  <w:endnote w:type="continuationSeparator" w:id="0">
    <w:p w14:paraId="4F93555B" w14:textId="77777777" w:rsidR="00933911" w:rsidRDefault="00933911"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1E9BA917"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BFB1" w14:textId="77777777" w:rsidR="00933911" w:rsidRDefault="00933911" w:rsidP="00147529">
      <w:r>
        <w:separator/>
      </w:r>
    </w:p>
  </w:footnote>
  <w:footnote w:type="continuationSeparator" w:id="0">
    <w:p w14:paraId="4E29820F" w14:textId="77777777" w:rsidR="00933911" w:rsidRDefault="00933911"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msoAFE9"/>
      </v:shape>
    </w:pict>
  </w:numPicBullet>
  <w:abstractNum w:abstractNumId="0"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40402"/>
    <w:multiLevelType w:val="hybridMultilevel"/>
    <w:tmpl w:val="FD0C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53C1"/>
    <w:multiLevelType w:val="hybridMultilevel"/>
    <w:tmpl w:val="DA9A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0006E"/>
    <w:multiLevelType w:val="hybridMultilevel"/>
    <w:tmpl w:val="731A18C4"/>
    <w:lvl w:ilvl="0" w:tplc="08090001">
      <w:start w:val="1"/>
      <w:numFmt w:val="bullet"/>
      <w:lvlText w:val=""/>
      <w:lvlJc w:val="left"/>
      <w:pPr>
        <w:ind w:left="12240" w:hanging="360"/>
      </w:pPr>
      <w:rPr>
        <w:rFonts w:ascii="Symbol" w:hAnsi="Symbol" w:hint="default"/>
      </w:rPr>
    </w:lvl>
    <w:lvl w:ilvl="1" w:tplc="08090003" w:tentative="1">
      <w:start w:val="1"/>
      <w:numFmt w:val="bullet"/>
      <w:lvlText w:val="o"/>
      <w:lvlJc w:val="left"/>
      <w:pPr>
        <w:ind w:left="12960" w:hanging="360"/>
      </w:pPr>
      <w:rPr>
        <w:rFonts w:ascii="Courier New" w:hAnsi="Courier New" w:cs="Courier New" w:hint="default"/>
      </w:rPr>
    </w:lvl>
    <w:lvl w:ilvl="2" w:tplc="08090005" w:tentative="1">
      <w:start w:val="1"/>
      <w:numFmt w:val="bullet"/>
      <w:lvlText w:val=""/>
      <w:lvlJc w:val="left"/>
      <w:pPr>
        <w:ind w:left="13680" w:hanging="360"/>
      </w:pPr>
      <w:rPr>
        <w:rFonts w:ascii="Wingdings" w:hAnsi="Wingdings" w:hint="default"/>
      </w:rPr>
    </w:lvl>
    <w:lvl w:ilvl="3" w:tplc="08090001" w:tentative="1">
      <w:start w:val="1"/>
      <w:numFmt w:val="bullet"/>
      <w:lvlText w:val=""/>
      <w:lvlJc w:val="left"/>
      <w:pPr>
        <w:ind w:left="14400" w:hanging="360"/>
      </w:pPr>
      <w:rPr>
        <w:rFonts w:ascii="Symbol" w:hAnsi="Symbol" w:hint="default"/>
      </w:rPr>
    </w:lvl>
    <w:lvl w:ilvl="4" w:tplc="08090003" w:tentative="1">
      <w:start w:val="1"/>
      <w:numFmt w:val="bullet"/>
      <w:lvlText w:val="o"/>
      <w:lvlJc w:val="left"/>
      <w:pPr>
        <w:ind w:left="15120" w:hanging="360"/>
      </w:pPr>
      <w:rPr>
        <w:rFonts w:ascii="Courier New" w:hAnsi="Courier New" w:cs="Courier New" w:hint="default"/>
      </w:rPr>
    </w:lvl>
    <w:lvl w:ilvl="5" w:tplc="08090005" w:tentative="1">
      <w:start w:val="1"/>
      <w:numFmt w:val="bullet"/>
      <w:lvlText w:val=""/>
      <w:lvlJc w:val="left"/>
      <w:pPr>
        <w:ind w:left="15840" w:hanging="360"/>
      </w:pPr>
      <w:rPr>
        <w:rFonts w:ascii="Wingdings" w:hAnsi="Wingdings" w:hint="default"/>
      </w:rPr>
    </w:lvl>
    <w:lvl w:ilvl="6" w:tplc="08090001" w:tentative="1">
      <w:start w:val="1"/>
      <w:numFmt w:val="bullet"/>
      <w:lvlText w:val=""/>
      <w:lvlJc w:val="left"/>
      <w:pPr>
        <w:ind w:left="16560" w:hanging="360"/>
      </w:pPr>
      <w:rPr>
        <w:rFonts w:ascii="Symbol" w:hAnsi="Symbol" w:hint="default"/>
      </w:rPr>
    </w:lvl>
    <w:lvl w:ilvl="7" w:tplc="08090003" w:tentative="1">
      <w:start w:val="1"/>
      <w:numFmt w:val="bullet"/>
      <w:lvlText w:val="o"/>
      <w:lvlJc w:val="left"/>
      <w:pPr>
        <w:ind w:left="17280" w:hanging="360"/>
      </w:pPr>
      <w:rPr>
        <w:rFonts w:ascii="Courier New" w:hAnsi="Courier New" w:cs="Courier New" w:hint="default"/>
      </w:rPr>
    </w:lvl>
    <w:lvl w:ilvl="8" w:tplc="08090005" w:tentative="1">
      <w:start w:val="1"/>
      <w:numFmt w:val="bullet"/>
      <w:lvlText w:val=""/>
      <w:lvlJc w:val="left"/>
      <w:pPr>
        <w:ind w:left="18000" w:hanging="360"/>
      </w:pPr>
      <w:rPr>
        <w:rFonts w:ascii="Wingdings" w:hAnsi="Wingdings" w:hint="default"/>
      </w:rPr>
    </w:lvl>
  </w:abstractNum>
  <w:abstractNum w:abstractNumId="4" w15:restartNumberingAfterBreak="0">
    <w:nsid w:val="25C51FBE"/>
    <w:multiLevelType w:val="hybridMultilevel"/>
    <w:tmpl w:val="610E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11081"/>
    <w:multiLevelType w:val="hybridMultilevel"/>
    <w:tmpl w:val="FE944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B0AEE"/>
    <w:multiLevelType w:val="hybridMultilevel"/>
    <w:tmpl w:val="8BD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40F0F"/>
    <w:multiLevelType w:val="hybridMultilevel"/>
    <w:tmpl w:val="3FAC3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245729"/>
    <w:multiLevelType w:val="hybridMultilevel"/>
    <w:tmpl w:val="03ECCE00"/>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9" w15:restartNumberingAfterBreak="0">
    <w:nsid w:val="32EA001B"/>
    <w:multiLevelType w:val="hybridMultilevel"/>
    <w:tmpl w:val="63DE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70DE7"/>
    <w:multiLevelType w:val="hybridMultilevel"/>
    <w:tmpl w:val="17F0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E2990"/>
    <w:multiLevelType w:val="hybridMultilevel"/>
    <w:tmpl w:val="840A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B063F"/>
    <w:multiLevelType w:val="hybridMultilevel"/>
    <w:tmpl w:val="863A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C7FB0"/>
    <w:multiLevelType w:val="hybridMultilevel"/>
    <w:tmpl w:val="84B81BE0"/>
    <w:lvl w:ilvl="0" w:tplc="7F78A084">
      <w:start w:val="1"/>
      <w:numFmt w:val="bullet"/>
      <w:lvlText w:val=""/>
      <w:lvlJc w:val="left"/>
      <w:pPr>
        <w:ind w:left="720" w:hanging="360"/>
      </w:pPr>
      <w:rPr>
        <w:rFonts w:ascii="Symbol" w:hAnsi="Symbol"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C761A"/>
    <w:multiLevelType w:val="hybridMultilevel"/>
    <w:tmpl w:val="4E9E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62B64"/>
    <w:multiLevelType w:val="hybridMultilevel"/>
    <w:tmpl w:val="C8EA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72BAB"/>
    <w:multiLevelType w:val="hybridMultilevel"/>
    <w:tmpl w:val="E0CE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F527A"/>
    <w:multiLevelType w:val="hybridMultilevel"/>
    <w:tmpl w:val="A376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36A33"/>
    <w:multiLevelType w:val="hybridMultilevel"/>
    <w:tmpl w:val="6A9EA2CA"/>
    <w:lvl w:ilvl="0" w:tplc="9EE2EF72">
      <w:start w:val="1"/>
      <w:numFmt w:val="decimal"/>
      <w:lvlText w:val="%1)"/>
      <w:lvlJc w:val="left"/>
      <w:pPr>
        <w:ind w:left="720" w:hanging="360"/>
      </w:pPr>
      <w:rPr>
        <w:rFonts w:ascii="Arial" w:eastAsia="Calibr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AD4255F"/>
    <w:multiLevelType w:val="hybridMultilevel"/>
    <w:tmpl w:val="DC5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B5149"/>
    <w:multiLevelType w:val="hybridMultilevel"/>
    <w:tmpl w:val="290AB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B45A49"/>
    <w:multiLevelType w:val="hybridMultilevel"/>
    <w:tmpl w:val="96D6313E"/>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2" w15:restartNumberingAfterBreak="0">
    <w:nsid w:val="734E545E"/>
    <w:multiLevelType w:val="hybridMultilevel"/>
    <w:tmpl w:val="E796EA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874AB7"/>
    <w:multiLevelType w:val="hybridMultilevel"/>
    <w:tmpl w:val="44F6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B7CA3"/>
    <w:multiLevelType w:val="hybridMultilevel"/>
    <w:tmpl w:val="BE4ABDE2"/>
    <w:lvl w:ilvl="0" w:tplc="0809000F">
      <w:start w:val="1"/>
      <w:numFmt w:val="decimal"/>
      <w:lvlText w:val="%1."/>
      <w:lvlJc w:val="left"/>
      <w:pPr>
        <w:ind w:left="15120" w:hanging="360"/>
      </w:pPr>
    </w:lvl>
    <w:lvl w:ilvl="1" w:tplc="08090019" w:tentative="1">
      <w:start w:val="1"/>
      <w:numFmt w:val="lowerLetter"/>
      <w:lvlText w:val="%2."/>
      <w:lvlJc w:val="left"/>
      <w:pPr>
        <w:ind w:left="15840" w:hanging="360"/>
      </w:pPr>
    </w:lvl>
    <w:lvl w:ilvl="2" w:tplc="0809001B" w:tentative="1">
      <w:start w:val="1"/>
      <w:numFmt w:val="lowerRoman"/>
      <w:lvlText w:val="%3."/>
      <w:lvlJc w:val="right"/>
      <w:pPr>
        <w:ind w:left="16560" w:hanging="180"/>
      </w:pPr>
    </w:lvl>
    <w:lvl w:ilvl="3" w:tplc="0809000F" w:tentative="1">
      <w:start w:val="1"/>
      <w:numFmt w:val="decimal"/>
      <w:lvlText w:val="%4."/>
      <w:lvlJc w:val="left"/>
      <w:pPr>
        <w:ind w:left="17280" w:hanging="360"/>
      </w:pPr>
    </w:lvl>
    <w:lvl w:ilvl="4" w:tplc="08090019" w:tentative="1">
      <w:start w:val="1"/>
      <w:numFmt w:val="lowerLetter"/>
      <w:lvlText w:val="%5."/>
      <w:lvlJc w:val="left"/>
      <w:pPr>
        <w:ind w:left="18000" w:hanging="360"/>
      </w:pPr>
    </w:lvl>
    <w:lvl w:ilvl="5" w:tplc="0809001B" w:tentative="1">
      <w:start w:val="1"/>
      <w:numFmt w:val="lowerRoman"/>
      <w:lvlText w:val="%6."/>
      <w:lvlJc w:val="right"/>
      <w:pPr>
        <w:ind w:left="18720" w:hanging="180"/>
      </w:pPr>
    </w:lvl>
    <w:lvl w:ilvl="6" w:tplc="0809000F" w:tentative="1">
      <w:start w:val="1"/>
      <w:numFmt w:val="decimal"/>
      <w:lvlText w:val="%7."/>
      <w:lvlJc w:val="left"/>
      <w:pPr>
        <w:ind w:left="19440" w:hanging="360"/>
      </w:pPr>
    </w:lvl>
    <w:lvl w:ilvl="7" w:tplc="08090019" w:tentative="1">
      <w:start w:val="1"/>
      <w:numFmt w:val="lowerLetter"/>
      <w:lvlText w:val="%8."/>
      <w:lvlJc w:val="left"/>
      <w:pPr>
        <w:ind w:left="20160" w:hanging="360"/>
      </w:pPr>
    </w:lvl>
    <w:lvl w:ilvl="8" w:tplc="0809001B" w:tentative="1">
      <w:start w:val="1"/>
      <w:numFmt w:val="lowerRoman"/>
      <w:lvlText w:val="%9."/>
      <w:lvlJc w:val="right"/>
      <w:pPr>
        <w:ind w:left="20880" w:hanging="180"/>
      </w:pPr>
    </w:lvl>
  </w:abstractNum>
  <w:abstractNum w:abstractNumId="25" w15:restartNumberingAfterBreak="0">
    <w:nsid w:val="77A9557B"/>
    <w:multiLevelType w:val="hybridMultilevel"/>
    <w:tmpl w:val="4084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F7261"/>
    <w:multiLevelType w:val="hybridMultilevel"/>
    <w:tmpl w:val="8B5C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3C3B74"/>
    <w:multiLevelType w:val="hybridMultilevel"/>
    <w:tmpl w:val="0C3E25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7FB6401D"/>
    <w:multiLevelType w:val="hybridMultilevel"/>
    <w:tmpl w:val="953C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434238">
    <w:abstractNumId w:val="7"/>
  </w:num>
  <w:num w:numId="2" w16cid:durableId="236868265">
    <w:abstractNumId w:val="20"/>
  </w:num>
  <w:num w:numId="3" w16cid:durableId="1649165795">
    <w:abstractNumId w:val="11"/>
  </w:num>
  <w:num w:numId="4" w16cid:durableId="60565052">
    <w:abstractNumId w:val="27"/>
  </w:num>
  <w:num w:numId="5" w16cid:durableId="1900826731">
    <w:abstractNumId w:val="21"/>
  </w:num>
  <w:num w:numId="6" w16cid:durableId="1486118615">
    <w:abstractNumId w:val="8"/>
  </w:num>
  <w:num w:numId="7" w16cid:durableId="1480002243">
    <w:abstractNumId w:val="3"/>
  </w:num>
  <w:num w:numId="8" w16cid:durableId="1754624023">
    <w:abstractNumId w:val="24"/>
  </w:num>
  <w:num w:numId="9" w16cid:durableId="688676549">
    <w:abstractNumId w:val="16"/>
  </w:num>
  <w:num w:numId="10" w16cid:durableId="1080517817">
    <w:abstractNumId w:val="14"/>
  </w:num>
  <w:num w:numId="11" w16cid:durableId="2126649758">
    <w:abstractNumId w:val="23"/>
  </w:num>
  <w:num w:numId="12" w16cid:durableId="1545944174">
    <w:abstractNumId w:val="25"/>
  </w:num>
  <w:num w:numId="13" w16cid:durableId="510873577">
    <w:abstractNumId w:val="28"/>
  </w:num>
  <w:num w:numId="14" w16cid:durableId="400102243">
    <w:abstractNumId w:val="18"/>
  </w:num>
  <w:num w:numId="15" w16cid:durableId="778992271">
    <w:abstractNumId w:val="2"/>
  </w:num>
  <w:num w:numId="16" w16cid:durableId="352342044">
    <w:abstractNumId w:val="26"/>
  </w:num>
  <w:num w:numId="17" w16cid:durableId="1477649170">
    <w:abstractNumId w:val="6"/>
  </w:num>
  <w:num w:numId="18" w16cid:durableId="95641522">
    <w:abstractNumId w:val="0"/>
  </w:num>
  <w:num w:numId="19" w16cid:durableId="115222594">
    <w:abstractNumId w:val="9"/>
  </w:num>
  <w:num w:numId="20" w16cid:durableId="358699310">
    <w:abstractNumId w:val="4"/>
  </w:num>
  <w:num w:numId="21" w16cid:durableId="2024472635">
    <w:abstractNumId w:val="22"/>
  </w:num>
  <w:num w:numId="22" w16cid:durableId="26760356">
    <w:abstractNumId w:val="15"/>
  </w:num>
  <w:num w:numId="23" w16cid:durableId="815487952">
    <w:abstractNumId w:val="1"/>
  </w:num>
  <w:num w:numId="24" w16cid:durableId="1088968665">
    <w:abstractNumId w:val="17"/>
  </w:num>
  <w:num w:numId="25" w16cid:durableId="1949311564">
    <w:abstractNumId w:val="19"/>
  </w:num>
  <w:num w:numId="26" w16cid:durableId="2078240723">
    <w:abstractNumId w:val="10"/>
  </w:num>
  <w:num w:numId="27" w16cid:durableId="720598545">
    <w:abstractNumId w:val="12"/>
  </w:num>
  <w:num w:numId="28" w16cid:durableId="112679493">
    <w:abstractNumId w:val="13"/>
  </w:num>
  <w:num w:numId="29" w16cid:durableId="1653481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12E8F"/>
    <w:rsid w:val="00065408"/>
    <w:rsid w:val="00065D43"/>
    <w:rsid w:val="00067149"/>
    <w:rsid w:val="0008551A"/>
    <w:rsid w:val="000901DE"/>
    <w:rsid w:val="000A5302"/>
    <w:rsid w:val="000C5158"/>
    <w:rsid w:val="000F0D78"/>
    <w:rsid w:val="00137801"/>
    <w:rsid w:val="00140627"/>
    <w:rsid w:val="00147529"/>
    <w:rsid w:val="00164337"/>
    <w:rsid w:val="00174124"/>
    <w:rsid w:val="001D48CD"/>
    <w:rsid w:val="001E0EC8"/>
    <w:rsid w:val="001F1533"/>
    <w:rsid w:val="002254AC"/>
    <w:rsid w:val="002371C9"/>
    <w:rsid w:val="00280796"/>
    <w:rsid w:val="002A4D08"/>
    <w:rsid w:val="002D6775"/>
    <w:rsid w:val="00384DCC"/>
    <w:rsid w:val="003A5106"/>
    <w:rsid w:val="003B5F03"/>
    <w:rsid w:val="003C13C1"/>
    <w:rsid w:val="003F2CF3"/>
    <w:rsid w:val="004073EC"/>
    <w:rsid w:val="00425AFE"/>
    <w:rsid w:val="00442A10"/>
    <w:rsid w:val="00483807"/>
    <w:rsid w:val="00556B9B"/>
    <w:rsid w:val="005756C2"/>
    <w:rsid w:val="00593818"/>
    <w:rsid w:val="005964C6"/>
    <w:rsid w:val="005E698A"/>
    <w:rsid w:val="005F20C1"/>
    <w:rsid w:val="00603E90"/>
    <w:rsid w:val="00635007"/>
    <w:rsid w:val="0064129D"/>
    <w:rsid w:val="0064581F"/>
    <w:rsid w:val="0065307E"/>
    <w:rsid w:val="00654028"/>
    <w:rsid w:val="006702EB"/>
    <w:rsid w:val="006713AA"/>
    <w:rsid w:val="006B0538"/>
    <w:rsid w:val="006E08F1"/>
    <w:rsid w:val="00733F66"/>
    <w:rsid w:val="00755063"/>
    <w:rsid w:val="00756FAC"/>
    <w:rsid w:val="007621EF"/>
    <w:rsid w:val="007B7D29"/>
    <w:rsid w:val="007C7C79"/>
    <w:rsid w:val="00812563"/>
    <w:rsid w:val="00892321"/>
    <w:rsid w:val="008D602E"/>
    <w:rsid w:val="009028A9"/>
    <w:rsid w:val="009255BA"/>
    <w:rsid w:val="00933911"/>
    <w:rsid w:val="0094050F"/>
    <w:rsid w:val="00945A88"/>
    <w:rsid w:val="009617BC"/>
    <w:rsid w:val="00974488"/>
    <w:rsid w:val="009820FB"/>
    <w:rsid w:val="00A4129F"/>
    <w:rsid w:val="00A4485D"/>
    <w:rsid w:val="00A57447"/>
    <w:rsid w:val="00A75FFF"/>
    <w:rsid w:val="00AB2445"/>
    <w:rsid w:val="00AF77B1"/>
    <w:rsid w:val="00B15CB6"/>
    <w:rsid w:val="00B20AFB"/>
    <w:rsid w:val="00B44D59"/>
    <w:rsid w:val="00BA0F1D"/>
    <w:rsid w:val="00BA487E"/>
    <w:rsid w:val="00BB4C99"/>
    <w:rsid w:val="00C053EE"/>
    <w:rsid w:val="00C52787"/>
    <w:rsid w:val="00C639B2"/>
    <w:rsid w:val="00C640E7"/>
    <w:rsid w:val="00C76165"/>
    <w:rsid w:val="00CA5C63"/>
    <w:rsid w:val="00D218E8"/>
    <w:rsid w:val="00D31E96"/>
    <w:rsid w:val="00D8681F"/>
    <w:rsid w:val="00DA47EA"/>
    <w:rsid w:val="00DC0359"/>
    <w:rsid w:val="00E1070C"/>
    <w:rsid w:val="00E3473A"/>
    <w:rsid w:val="00E80747"/>
    <w:rsid w:val="00E85982"/>
    <w:rsid w:val="00EA4035"/>
    <w:rsid w:val="00EF1264"/>
    <w:rsid w:val="00F26381"/>
    <w:rsid w:val="00F269EC"/>
    <w:rsid w:val="00F3339A"/>
    <w:rsid w:val="00F358EF"/>
    <w:rsid w:val="00F724E4"/>
    <w:rsid w:val="00F97D8F"/>
    <w:rsid w:val="00FD7850"/>
    <w:rsid w:val="00FD7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E"/>
    <w:pPr>
      <w:spacing w:before="60" w:after="120" w:line="240" w:lineRule="auto"/>
    </w:pPr>
    <w:rPr>
      <w:rFonts w:ascii="Verdana" w:eastAsia="Times New Roman" w:hAnsi="Verdana" w:cs="Arial"/>
      <w:bCs/>
      <w:sz w:val="28"/>
      <w:szCs w:val="28"/>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B44D59"/>
    <w:pPr>
      <w:spacing w:before="12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8"/>
      </w:numPr>
      <w:spacing w:after="60"/>
      <w:ind w:left="714" w:hanging="357"/>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B44D59"/>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en@access-include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7</cp:revision>
  <cp:lastPrinted>2023-07-05T13:55:00Z</cp:lastPrinted>
  <dcterms:created xsi:type="dcterms:W3CDTF">2023-07-06T11:37:00Z</dcterms:created>
  <dcterms:modified xsi:type="dcterms:W3CDTF">2023-07-18T15:22:00Z</dcterms:modified>
</cp:coreProperties>
</file>